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3B2A" w14:textId="3B0A2527" w:rsidR="00650E95" w:rsidRDefault="003F42D2" w:rsidP="00650E95">
      <w:pPr>
        <w:pStyle w:val="Title"/>
      </w:pPr>
      <w:r>
        <w:t>Social Justice in Education for Sustainability; Fall 2022</w:t>
      </w:r>
      <w:r w:rsidR="00650E95" w:rsidRPr="197528C1">
        <w:t xml:space="preserve"> Syllabus</w:t>
      </w:r>
    </w:p>
    <w:p w14:paraId="16BB9C57" w14:textId="77777777" w:rsidR="00650E95" w:rsidRPr="00787FBA" w:rsidRDefault="00650E95" w:rsidP="00650E95"/>
    <w:p w14:paraId="36698687" w14:textId="77777777" w:rsidR="00650E95" w:rsidRDefault="00650E95" w:rsidP="00650E95">
      <w:pPr>
        <w:widowControl w:val="0"/>
        <w:rPr>
          <w:b/>
        </w:rPr>
      </w:pPr>
    </w:p>
    <w:p w14:paraId="095AC97B" w14:textId="77777777"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7AF01E64" w14:textId="77777777" w:rsidR="00650E95" w:rsidRDefault="00650E95" w:rsidP="00650E95"/>
    <w:p w14:paraId="68CAD0B2" w14:textId="77777777" w:rsidR="00650E95" w:rsidRPr="0082240D" w:rsidRDefault="00650E95" w:rsidP="00BC2216">
      <w:pPr>
        <w:pStyle w:val="Heading1"/>
      </w:pPr>
      <w:r w:rsidRPr="0082240D">
        <w:t>Using this document</w:t>
      </w:r>
    </w:p>
    <w:p w14:paraId="47B52BEF" w14:textId="77777777" w:rsidR="00650E95" w:rsidRDefault="00650E95" w:rsidP="00650E95">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77777777" w:rsidR="00650E95" w:rsidRDefault="00650E95" w:rsidP="00650E95">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4D0196E3" w14:textId="77777777" w:rsidR="00650E95" w:rsidRDefault="00650E95" w:rsidP="00650E95"/>
    <w:p w14:paraId="51066EE3" w14:textId="11C8EB54" w:rsidR="00650E95" w:rsidRPr="003F42D2" w:rsidRDefault="00650E95" w:rsidP="00650E95">
      <w:pPr>
        <w:rPr>
          <w:b/>
          <w:color w:val="auto"/>
        </w:rPr>
      </w:pPr>
      <w:r w:rsidRPr="003F42D2">
        <w:rPr>
          <w:b/>
          <w:color w:val="auto"/>
        </w:rPr>
        <w:t>Instructor:</w:t>
      </w:r>
      <w:r w:rsidRPr="003F42D2">
        <w:rPr>
          <w:color w:val="auto"/>
        </w:rPr>
        <w:t xml:space="preserve"> </w:t>
      </w:r>
      <w:r w:rsidR="003F42D2">
        <w:rPr>
          <w:color w:val="auto"/>
        </w:rPr>
        <w:t>Erin Redman</w:t>
      </w:r>
      <w:r w:rsidR="00122D84">
        <w:rPr>
          <w:color w:val="auto"/>
        </w:rPr>
        <w:t xml:space="preserve"> &amp; Marcus Lewis</w:t>
      </w:r>
      <w:r w:rsidRPr="003F42D2">
        <w:rPr>
          <w:color w:val="auto"/>
        </w:rPr>
        <w:br/>
      </w:r>
      <w:r w:rsidRPr="003F42D2">
        <w:rPr>
          <w:b/>
          <w:color w:val="auto"/>
        </w:rPr>
        <w:t>Office:</w:t>
      </w:r>
      <w:r w:rsidRPr="003F42D2">
        <w:rPr>
          <w:color w:val="auto"/>
        </w:rPr>
        <w:t xml:space="preserve"> </w:t>
      </w:r>
      <w:r w:rsidR="003F42D2">
        <w:rPr>
          <w:color w:val="auto"/>
        </w:rPr>
        <w:t>Room 448 in the College of Professional Studies</w:t>
      </w:r>
      <w:r w:rsidRPr="003F42D2">
        <w:rPr>
          <w:color w:val="auto"/>
        </w:rPr>
        <w:br/>
      </w:r>
      <w:r w:rsidRPr="003F42D2">
        <w:rPr>
          <w:b/>
          <w:color w:val="auto"/>
        </w:rPr>
        <w:t>Virtual Office Hours:</w:t>
      </w:r>
      <w:r w:rsidRPr="003F42D2">
        <w:rPr>
          <w:i/>
          <w:color w:val="auto"/>
        </w:rPr>
        <w:t xml:space="preserve"> </w:t>
      </w:r>
      <w:r w:rsidR="003F42D2">
        <w:rPr>
          <w:color w:val="auto"/>
        </w:rPr>
        <w:t>By appointment &amp; every Tuesday from 1:30-3:30pm Central Time</w:t>
      </w:r>
      <w:r w:rsidR="00122D84">
        <w:rPr>
          <w:color w:val="auto"/>
        </w:rPr>
        <w:t xml:space="preserve"> (in Redman zoom room)</w:t>
      </w:r>
    </w:p>
    <w:p w14:paraId="7ED8CDEE" w14:textId="0701ABA1" w:rsidR="00650E95" w:rsidRPr="003F42D2" w:rsidRDefault="00650E95" w:rsidP="00650E95">
      <w:pPr>
        <w:rPr>
          <w:b/>
          <w:color w:val="auto"/>
        </w:rPr>
      </w:pPr>
      <w:r w:rsidRPr="003F42D2">
        <w:rPr>
          <w:b/>
          <w:color w:val="auto"/>
        </w:rPr>
        <w:t>Office Telephone:</w:t>
      </w:r>
      <w:r w:rsidRPr="003F42D2">
        <w:rPr>
          <w:color w:val="auto"/>
        </w:rPr>
        <w:t xml:space="preserve"> </w:t>
      </w:r>
      <w:r w:rsidR="003F42D2">
        <w:rPr>
          <w:color w:val="auto"/>
        </w:rPr>
        <w:t>NA</w:t>
      </w:r>
      <w:r w:rsidRPr="003F42D2">
        <w:rPr>
          <w:color w:val="auto"/>
        </w:rPr>
        <w:br/>
      </w:r>
      <w:r w:rsidRPr="003F42D2">
        <w:rPr>
          <w:b/>
          <w:color w:val="auto"/>
        </w:rPr>
        <w:t>E-mail:</w:t>
      </w:r>
      <w:r w:rsidRPr="003F42D2">
        <w:rPr>
          <w:color w:val="auto"/>
        </w:rPr>
        <w:t xml:space="preserve"> </w:t>
      </w:r>
      <w:r w:rsidR="003F42D2">
        <w:rPr>
          <w:color w:val="auto"/>
        </w:rPr>
        <w:t>eredman@uwsp.edu</w:t>
      </w:r>
    </w:p>
    <w:p w14:paraId="5E613100" w14:textId="77777777" w:rsidR="00650E95" w:rsidRDefault="00650E95" w:rsidP="00650E95"/>
    <w:p w14:paraId="51A1AB7C" w14:textId="77777777" w:rsidR="00650E95" w:rsidRDefault="00650E95" w:rsidP="00650E95">
      <w:pPr>
        <w:pStyle w:val="Heading2"/>
      </w:pPr>
      <w:r>
        <w:t>Course Information</w:t>
      </w:r>
    </w:p>
    <w:p w14:paraId="423C8FC2" w14:textId="15923EF2" w:rsidR="00650E95" w:rsidRPr="003F42D2" w:rsidRDefault="00650E95" w:rsidP="00650E95">
      <w:pPr>
        <w:rPr>
          <w:color w:val="auto"/>
        </w:rPr>
      </w:pPr>
      <w:r w:rsidRPr="003F42D2">
        <w:rPr>
          <w:b/>
          <w:color w:val="auto"/>
        </w:rPr>
        <w:t>Course Description:</w:t>
      </w:r>
      <w:r w:rsidR="003F42D2">
        <w:rPr>
          <w:b/>
          <w:color w:val="auto"/>
        </w:rPr>
        <w:t xml:space="preserve"> </w:t>
      </w:r>
      <w:r w:rsidR="003F42D2" w:rsidRPr="003F42D2">
        <w:rPr>
          <w:bCs/>
          <w:color w:val="auto"/>
        </w:rPr>
        <w:t>An advanced and in-depth exploration of the issues of power and inequality by addressing current issues from a variety of perspectives, possibilities, and geographies. Key course concepts for social justice in education include cultural frameworks, social construct, and politics of epistemology. Examine historic and contemporary examples of informal and formal educational institutions as mechanisms of social, political, ecological, and economic systems. Engage in critical research, analysis, writing, and development of programs in their field that strive to balance social justice education and learning as sustainability.</w:t>
      </w:r>
      <w:r w:rsidRPr="003F42D2">
        <w:rPr>
          <w:color w:val="auto"/>
        </w:rPr>
        <w:tab/>
      </w:r>
    </w:p>
    <w:p w14:paraId="2863EBE8" w14:textId="0409B370" w:rsidR="00650E95" w:rsidRPr="003F42D2" w:rsidRDefault="00650E95" w:rsidP="00650E95">
      <w:pPr>
        <w:rPr>
          <w:color w:val="auto"/>
        </w:rPr>
      </w:pPr>
      <w:r w:rsidRPr="003F42D2">
        <w:rPr>
          <w:b/>
          <w:color w:val="auto"/>
        </w:rPr>
        <w:t>Credits:</w:t>
      </w:r>
      <w:r w:rsidRPr="003F42D2">
        <w:rPr>
          <w:color w:val="auto"/>
        </w:rPr>
        <w:t xml:space="preserve"> </w:t>
      </w:r>
      <w:r w:rsidR="00E33BE8">
        <w:rPr>
          <w:color w:val="auto"/>
        </w:rPr>
        <w:t>3</w:t>
      </w:r>
    </w:p>
    <w:p w14:paraId="1C5DE260" w14:textId="09987C39" w:rsidR="00650E95" w:rsidRPr="003F42D2" w:rsidRDefault="00650E95" w:rsidP="00650E95">
      <w:pPr>
        <w:rPr>
          <w:color w:val="auto"/>
        </w:rPr>
      </w:pPr>
      <w:r w:rsidRPr="003F42D2">
        <w:rPr>
          <w:b/>
          <w:color w:val="auto"/>
        </w:rPr>
        <w:lastRenderedPageBreak/>
        <w:t xml:space="preserve">Prerequisite: </w:t>
      </w:r>
      <w:r w:rsidR="00E33BE8">
        <w:rPr>
          <w:color w:val="auto"/>
        </w:rPr>
        <w:t>admission into the EdD program or special permission by Director</w:t>
      </w:r>
      <w:r w:rsidRPr="003F42D2">
        <w:rPr>
          <w:color w:val="auto"/>
        </w:rPr>
        <w:t>.</w:t>
      </w:r>
    </w:p>
    <w:p w14:paraId="2C6F8240" w14:textId="77777777" w:rsidR="00650E95" w:rsidRDefault="00650E95" w:rsidP="00650E95"/>
    <w:p w14:paraId="4CE48CD1" w14:textId="77777777" w:rsidR="00650E95" w:rsidRDefault="00650E95" w:rsidP="00650E95">
      <w:pPr>
        <w:pStyle w:val="Heading2"/>
      </w:pPr>
      <w:r>
        <w:t>Expected Instructor Response Times</w:t>
      </w:r>
    </w:p>
    <w:p w14:paraId="76FB1746" w14:textId="77777777"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from me within 24 </w:t>
      </w:r>
      <w:proofErr w:type="gramStart"/>
      <w:r w:rsidRPr="197528C1">
        <w:rPr>
          <w:color w:val="333333"/>
        </w:rPr>
        <w:t>hours</w:t>
      </w:r>
      <w:proofErr w:type="gramEnd"/>
      <w:r w:rsidRPr="197528C1">
        <w:rPr>
          <w:color w:val="333333"/>
        </w:rPr>
        <w:t xml:space="preserve"> please resend your email.</w:t>
      </w:r>
    </w:p>
    <w:p w14:paraId="19B8C11B" w14:textId="77777777" w:rsidR="00650E95" w:rsidRDefault="00650E95" w:rsidP="00650E95">
      <w:pPr>
        <w:pStyle w:val="ListParagraph"/>
        <w:numPr>
          <w:ilvl w:val="1"/>
          <w:numId w:val="2"/>
        </w:numPr>
      </w:pPr>
      <w:r w:rsidRPr="197528C1">
        <w:rPr>
          <w:color w:val="333333"/>
        </w:rPr>
        <w:t>I will attempt to reply to and assess student discussion posts within 48 hours of discussions closing.</w:t>
      </w:r>
    </w:p>
    <w:p w14:paraId="5FD4F934" w14:textId="77777777" w:rsidR="00650E95" w:rsidRDefault="00650E95" w:rsidP="00650E95">
      <w:pPr>
        <w:pStyle w:val="ListParagraph"/>
        <w:numPr>
          <w:ilvl w:val="1"/>
          <w:numId w:val="2"/>
        </w:numPr>
      </w:pPr>
      <w:r w:rsidRPr="197528C1">
        <w:rPr>
          <w:color w:val="333333"/>
        </w:rPr>
        <w:t>I will attempt to grade written work within 72 hours, 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r>
        <w:t>Communicate with your Instructor</w:t>
      </w:r>
    </w:p>
    <w:p w14:paraId="76AA7F4A" w14:textId="77777777" w:rsidR="00650E95" w:rsidRPr="000D37C0" w:rsidRDefault="00650E95" w:rsidP="00650E95">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77777777" w:rsidR="00650E95" w:rsidRDefault="00650E95" w:rsidP="00650E95">
      <w:pPr>
        <w:pStyle w:val="Heading2"/>
      </w:pPr>
      <w:r>
        <w:t>*Textbook &amp; Course Materials (Bibliography)</w:t>
      </w:r>
    </w:p>
    <w:p w14:paraId="5400628C" w14:textId="2909FD7C" w:rsidR="00650E95" w:rsidRDefault="00650E95" w:rsidP="00650E95">
      <w:pPr>
        <w:widowControl w:val="0"/>
        <w:rPr>
          <w:color w:val="910091"/>
        </w:rPr>
      </w:pPr>
      <w:r>
        <w:rPr>
          <w:b/>
        </w:rPr>
        <w:t>Required Text:</w:t>
      </w:r>
      <w:r w:rsidRPr="00281907">
        <w:rPr>
          <w:color w:val="910091"/>
        </w:rPr>
        <w:t xml:space="preserve"> </w:t>
      </w:r>
    </w:p>
    <w:p w14:paraId="7F4E3B2F" w14:textId="37DC8983" w:rsidR="0036133F" w:rsidRDefault="0036133F" w:rsidP="00650E95">
      <w:pPr>
        <w:widowControl w:val="0"/>
      </w:pPr>
      <w:proofErr w:type="spellStart"/>
      <w:r w:rsidRPr="0036133F">
        <w:t>Kendi</w:t>
      </w:r>
      <w:proofErr w:type="spellEnd"/>
      <w:r w:rsidRPr="0036133F">
        <w:t>, I. X. (2016). Stamped from the beginning: The definitive history of racist ideas in America. Hachette UK.</w:t>
      </w:r>
    </w:p>
    <w:p w14:paraId="22943963" w14:textId="2B6A59CA" w:rsidR="0036133F" w:rsidRDefault="0036133F" w:rsidP="00650E95">
      <w:pPr>
        <w:widowControl w:val="0"/>
      </w:pPr>
    </w:p>
    <w:p w14:paraId="2A037785" w14:textId="6464B061" w:rsidR="0036133F" w:rsidRPr="00281907" w:rsidRDefault="0036133F" w:rsidP="00650E95">
      <w:pPr>
        <w:widowControl w:val="0"/>
      </w:pPr>
      <w:r w:rsidRPr="0036133F">
        <w:t xml:space="preserve">Mullainathan, S., &amp; </w:t>
      </w:r>
      <w:proofErr w:type="spellStart"/>
      <w:r w:rsidRPr="0036133F">
        <w:t>Shafir</w:t>
      </w:r>
      <w:proofErr w:type="spellEnd"/>
      <w:r w:rsidRPr="0036133F">
        <w:t>, E. (2013). Scarcity: Why having too little means so much. Macmillan.</w:t>
      </w:r>
    </w:p>
    <w:p w14:paraId="2DD176DE" w14:textId="385D391F" w:rsidR="00650E95" w:rsidRDefault="00650E95" w:rsidP="00650E95">
      <w:pPr>
        <w:widowControl w:val="0"/>
        <w:spacing w:after="120"/>
        <w:rPr>
          <w:b/>
          <w:color w:val="auto"/>
        </w:rPr>
      </w:pPr>
      <w:r>
        <w:rPr>
          <w:b/>
        </w:rPr>
        <w:t>Recommended Texts &amp; Other Readings:</w:t>
      </w:r>
      <w:r w:rsidR="0036133F">
        <w:rPr>
          <w:b/>
        </w:rPr>
        <w:t xml:space="preserve"> </w:t>
      </w:r>
    </w:p>
    <w:p w14:paraId="6B651C6C" w14:textId="50D635E9" w:rsidR="0036133F" w:rsidRPr="0036133F" w:rsidRDefault="0036133F" w:rsidP="00650E95">
      <w:pPr>
        <w:widowControl w:val="0"/>
        <w:spacing w:after="120"/>
        <w:rPr>
          <w:bCs/>
          <w:color w:val="auto"/>
        </w:rPr>
      </w:pPr>
      <w:r>
        <w:rPr>
          <w:bCs/>
          <w:color w:val="auto"/>
        </w:rPr>
        <w:t>All other recommended readings and linked files in Canvas.</w:t>
      </w:r>
    </w:p>
    <w:p w14:paraId="57C9EC9A" w14:textId="77777777" w:rsidR="00650E95" w:rsidRDefault="00650E95" w:rsidP="00650E95">
      <w:pPr>
        <w:pStyle w:val="Heading2"/>
      </w:pPr>
      <w:r>
        <w:t>*Course Learning Outcomes</w:t>
      </w:r>
    </w:p>
    <w:p w14:paraId="7886B47F" w14:textId="77777777" w:rsidR="00650E95" w:rsidRPr="00052871" w:rsidRDefault="00650E95" w:rsidP="00650E95">
      <w:pPr>
        <w:widowControl w:val="0"/>
        <w:spacing w:after="240"/>
      </w:pPr>
      <w:r>
        <w:t xml:space="preserve">See the </w:t>
      </w:r>
      <w:hyperlink r:id="rId11" w:history="1">
        <w:r w:rsidRPr="00EC6C38">
          <w:rPr>
            <w:rStyle w:val="Hyperlink"/>
          </w:rPr>
          <w:t>UWSP FAQs for Writing Learning Outcomes document</w:t>
        </w:r>
      </w:hyperlink>
      <w:r>
        <w:t xml:space="preserve"> for useful information.</w:t>
      </w:r>
    </w:p>
    <w:p w14:paraId="62C76332" w14:textId="77777777" w:rsidR="00650E95" w:rsidRDefault="00650E95" w:rsidP="00650E95">
      <w:r>
        <w:t xml:space="preserve">A learning outcome is a statement that describes what a student will know (knowledge), be able to do (skill), and/or value/appreciate (disposition) </w:t>
      </w:r>
      <w:proofErr w:type="gramStart"/>
      <w:r>
        <w:t>as a result of</w:t>
      </w:r>
      <w:proofErr w:type="gramEnd"/>
      <w:r>
        <w:t xml:space="preserve"> a learning experience.</w:t>
      </w:r>
    </w:p>
    <w:p w14:paraId="16356722" w14:textId="77777777" w:rsidR="00650E95" w:rsidRDefault="00650E95" w:rsidP="00650E95"/>
    <w:p w14:paraId="19C24165" w14:textId="77777777" w:rsidR="00650E95" w:rsidRPr="0036133F" w:rsidRDefault="00650E95" w:rsidP="00650E95">
      <w:pPr>
        <w:widowControl w:val="0"/>
        <w:spacing w:after="240"/>
        <w:rPr>
          <w:color w:val="auto"/>
        </w:rPr>
      </w:pPr>
      <w:r w:rsidRPr="0036133F">
        <w:rPr>
          <w:color w:val="auto"/>
        </w:rPr>
        <w:t>Students will be able to:</w:t>
      </w:r>
    </w:p>
    <w:p w14:paraId="065891FC" w14:textId="77777777" w:rsidR="0036133F" w:rsidRPr="0036133F" w:rsidRDefault="0036133F" w:rsidP="0036133F">
      <w:pPr>
        <w:pStyle w:val="ListParagraph"/>
        <w:widowControl w:val="0"/>
        <w:numPr>
          <w:ilvl w:val="0"/>
          <w:numId w:val="16"/>
        </w:numPr>
        <w:spacing w:after="120"/>
        <w:rPr>
          <w:color w:val="auto"/>
        </w:rPr>
      </w:pPr>
      <w:r w:rsidRPr="0036133F">
        <w:rPr>
          <w:color w:val="auto"/>
        </w:rPr>
        <w:t>Analyze a situation for equity and inclusivity (Module 4)</w:t>
      </w:r>
    </w:p>
    <w:p w14:paraId="0EE51377" w14:textId="77777777" w:rsidR="0036133F" w:rsidRPr="0036133F" w:rsidRDefault="0036133F" w:rsidP="0036133F">
      <w:pPr>
        <w:widowControl w:val="0"/>
        <w:spacing w:after="120"/>
        <w:ind w:left="1080" w:hanging="360"/>
        <w:rPr>
          <w:color w:val="auto"/>
        </w:rPr>
      </w:pPr>
    </w:p>
    <w:p w14:paraId="05288870" w14:textId="77777777" w:rsidR="0036133F" w:rsidRPr="0036133F" w:rsidRDefault="0036133F" w:rsidP="0036133F">
      <w:pPr>
        <w:pStyle w:val="ListParagraph"/>
        <w:widowControl w:val="0"/>
        <w:numPr>
          <w:ilvl w:val="0"/>
          <w:numId w:val="16"/>
        </w:numPr>
        <w:spacing w:after="120"/>
        <w:rPr>
          <w:color w:val="auto"/>
        </w:rPr>
      </w:pPr>
      <w:r w:rsidRPr="0036133F">
        <w:rPr>
          <w:color w:val="auto"/>
        </w:rPr>
        <w:t>Formulate responses to difficult conversations about racism, equity, and microaggressions (Module 3)</w:t>
      </w:r>
    </w:p>
    <w:p w14:paraId="7F06D9BF" w14:textId="77777777" w:rsidR="0036133F" w:rsidRPr="0036133F" w:rsidRDefault="0036133F" w:rsidP="0036133F">
      <w:pPr>
        <w:widowControl w:val="0"/>
        <w:spacing w:after="120"/>
        <w:ind w:left="1080" w:hanging="360"/>
        <w:rPr>
          <w:color w:val="auto"/>
        </w:rPr>
      </w:pPr>
    </w:p>
    <w:p w14:paraId="44DC62E8" w14:textId="77777777" w:rsidR="0036133F" w:rsidRPr="0036133F" w:rsidRDefault="0036133F" w:rsidP="0036133F">
      <w:pPr>
        <w:pStyle w:val="ListParagraph"/>
        <w:widowControl w:val="0"/>
        <w:numPr>
          <w:ilvl w:val="0"/>
          <w:numId w:val="16"/>
        </w:numPr>
        <w:spacing w:after="120"/>
        <w:rPr>
          <w:color w:val="auto"/>
        </w:rPr>
      </w:pPr>
      <w:r w:rsidRPr="0036133F">
        <w:rPr>
          <w:color w:val="auto"/>
        </w:rPr>
        <w:t>Assess the impact of microaggressions in maintaining systems of power and privilege (Module 3)</w:t>
      </w:r>
    </w:p>
    <w:p w14:paraId="55CB351F" w14:textId="77777777" w:rsidR="0036133F" w:rsidRPr="0036133F" w:rsidRDefault="0036133F" w:rsidP="0036133F">
      <w:pPr>
        <w:widowControl w:val="0"/>
        <w:spacing w:after="120"/>
        <w:ind w:left="1080" w:hanging="360"/>
        <w:rPr>
          <w:color w:val="auto"/>
        </w:rPr>
      </w:pPr>
    </w:p>
    <w:p w14:paraId="6FC1D41B" w14:textId="0327BE44" w:rsidR="0036133F" w:rsidRPr="0036133F" w:rsidRDefault="0036133F" w:rsidP="0036133F">
      <w:pPr>
        <w:pStyle w:val="ListParagraph"/>
        <w:widowControl w:val="0"/>
        <w:numPr>
          <w:ilvl w:val="0"/>
          <w:numId w:val="16"/>
        </w:numPr>
        <w:spacing w:after="120"/>
        <w:rPr>
          <w:color w:val="auto"/>
        </w:rPr>
      </w:pPr>
      <w:r w:rsidRPr="0036133F">
        <w:rPr>
          <w:color w:val="auto"/>
        </w:rPr>
        <w:t>Compare the patterns, history, and norms that shape sustainable or unsustainable systems in society (all modules)</w:t>
      </w:r>
    </w:p>
    <w:p w14:paraId="79F2F495" w14:textId="77777777" w:rsidR="0036133F" w:rsidRPr="0036133F" w:rsidRDefault="0036133F" w:rsidP="0036133F">
      <w:pPr>
        <w:widowControl w:val="0"/>
        <w:spacing w:after="120"/>
        <w:ind w:left="1080" w:hanging="360"/>
        <w:rPr>
          <w:color w:val="auto"/>
        </w:rPr>
      </w:pPr>
    </w:p>
    <w:p w14:paraId="789E042B" w14:textId="00FE6BFB" w:rsidR="0036133F" w:rsidRPr="0036133F" w:rsidRDefault="00CE2676" w:rsidP="0036133F">
      <w:pPr>
        <w:pStyle w:val="ListParagraph"/>
        <w:widowControl w:val="0"/>
        <w:numPr>
          <w:ilvl w:val="0"/>
          <w:numId w:val="16"/>
        </w:numPr>
        <w:spacing w:after="120"/>
        <w:rPr>
          <w:color w:val="auto"/>
        </w:rPr>
      </w:pPr>
      <w:r>
        <w:rPr>
          <w:color w:val="auto"/>
        </w:rPr>
        <w:t>P</w:t>
      </w:r>
      <w:r w:rsidR="0036133F" w:rsidRPr="0036133F">
        <w:rPr>
          <w:color w:val="auto"/>
        </w:rPr>
        <w:t xml:space="preserve">resent solutions </w:t>
      </w:r>
      <w:r w:rsidR="00CB31B3">
        <w:rPr>
          <w:color w:val="auto"/>
        </w:rPr>
        <w:t xml:space="preserve">based on trends and forecasts </w:t>
      </w:r>
      <w:r w:rsidR="0036133F" w:rsidRPr="0036133F">
        <w:rPr>
          <w:color w:val="auto"/>
        </w:rPr>
        <w:t>for fostering social justice (Module 2)</w:t>
      </w:r>
    </w:p>
    <w:p w14:paraId="6112D231" w14:textId="77777777" w:rsidR="0036133F" w:rsidRPr="0036133F" w:rsidRDefault="0036133F" w:rsidP="0036133F">
      <w:pPr>
        <w:widowControl w:val="0"/>
        <w:spacing w:after="120"/>
        <w:ind w:left="1080" w:hanging="360"/>
        <w:rPr>
          <w:color w:val="auto"/>
        </w:rPr>
      </w:pPr>
    </w:p>
    <w:p w14:paraId="1708FCCF" w14:textId="4828A93C" w:rsidR="00650E95" w:rsidRDefault="00933FB9" w:rsidP="0036133F">
      <w:pPr>
        <w:pStyle w:val="ListParagraph"/>
        <w:widowControl w:val="0"/>
        <w:numPr>
          <w:ilvl w:val="0"/>
          <w:numId w:val="16"/>
        </w:numPr>
        <w:spacing w:after="120"/>
      </w:pPr>
      <w:r>
        <w:rPr>
          <w:color w:val="auto"/>
        </w:rPr>
        <w:t>D</w:t>
      </w:r>
      <w:r w:rsidR="0036133F" w:rsidRPr="0036133F">
        <w:rPr>
          <w:color w:val="auto"/>
        </w:rPr>
        <w:t>escribe intersections of multiple axes of privilege, power, race, culture, and gender (all modules)</w:t>
      </w:r>
    </w:p>
    <w:p w14:paraId="3CA245BA" w14:textId="78E66E5F" w:rsidR="00650E95" w:rsidRPr="00C32D98" w:rsidRDefault="00650E95" w:rsidP="0036133F">
      <w:pPr>
        <w:widowControl w:val="0"/>
        <w:spacing w:after="120"/>
        <w:rPr>
          <w:color w:val="910091"/>
        </w:rPr>
      </w:pPr>
      <w:r w:rsidRPr="00C32D98">
        <w:rPr>
          <w:color w:val="910091"/>
        </w:rPr>
        <w:br/>
      </w:r>
    </w:p>
    <w:p w14:paraId="3859D1E7" w14:textId="77777777" w:rsidR="00650E95" w:rsidRDefault="00650E95" w:rsidP="00650E95">
      <w:pPr>
        <w:widowControl w:val="0"/>
        <w:spacing w:after="240"/>
      </w:pPr>
      <w:r>
        <w:t xml:space="preserve">You will meet the outcomes listed above through a combination of the following activities in this course: </w:t>
      </w:r>
    </w:p>
    <w:p w14:paraId="039C5B63" w14:textId="70589AFB" w:rsidR="00650E95" w:rsidRPr="0036133F" w:rsidRDefault="00650E95" w:rsidP="00650E95">
      <w:pPr>
        <w:widowControl w:val="0"/>
        <w:numPr>
          <w:ilvl w:val="0"/>
          <w:numId w:val="4"/>
        </w:numPr>
        <w:spacing w:after="120"/>
        <w:ind w:hanging="360"/>
        <w:rPr>
          <w:color w:val="auto"/>
        </w:rPr>
      </w:pPr>
      <w:r w:rsidRPr="0036133F">
        <w:rPr>
          <w:color w:val="auto"/>
        </w:rPr>
        <w:t>Atten</w:t>
      </w:r>
      <w:r w:rsidR="0036133F">
        <w:rPr>
          <w:color w:val="auto"/>
        </w:rPr>
        <w:t>d the 5 synchronous seminars scheduled throughout the semester</w:t>
      </w:r>
    </w:p>
    <w:p w14:paraId="206A8BEE" w14:textId="75EC587B" w:rsidR="00650E95" w:rsidRDefault="00650E95" w:rsidP="00650E95">
      <w:pPr>
        <w:widowControl w:val="0"/>
        <w:numPr>
          <w:ilvl w:val="0"/>
          <w:numId w:val="4"/>
        </w:numPr>
        <w:spacing w:after="120"/>
        <w:ind w:hanging="360"/>
        <w:rPr>
          <w:color w:val="auto"/>
        </w:rPr>
      </w:pPr>
      <w:r w:rsidRPr="0036133F">
        <w:rPr>
          <w:color w:val="auto"/>
        </w:rPr>
        <w:t>Complete</w:t>
      </w:r>
      <w:r w:rsidR="0036133F">
        <w:rPr>
          <w:color w:val="auto"/>
        </w:rPr>
        <w:t xml:space="preserve"> the readings and contribute to the microaggression toolkit</w:t>
      </w:r>
    </w:p>
    <w:p w14:paraId="070B6910" w14:textId="51DA5F54" w:rsidR="0036133F" w:rsidRPr="0036133F" w:rsidRDefault="0036133F" w:rsidP="00650E95">
      <w:pPr>
        <w:widowControl w:val="0"/>
        <w:numPr>
          <w:ilvl w:val="0"/>
          <w:numId w:val="4"/>
        </w:numPr>
        <w:spacing w:after="120"/>
        <w:ind w:hanging="360"/>
        <w:rPr>
          <w:color w:val="auto"/>
        </w:rPr>
      </w:pPr>
      <w:r>
        <w:rPr>
          <w:color w:val="auto"/>
        </w:rPr>
        <w:t>Complete the anti-racist audit (individual assignment) and contribute to the group projects</w:t>
      </w:r>
    </w:p>
    <w:p w14:paraId="3286EE52" w14:textId="4CE476EC" w:rsidR="00650E95" w:rsidRPr="0036133F" w:rsidRDefault="00650E95" w:rsidP="00650E95">
      <w:pPr>
        <w:widowControl w:val="0"/>
        <w:numPr>
          <w:ilvl w:val="0"/>
          <w:numId w:val="4"/>
        </w:numPr>
        <w:spacing w:after="120"/>
        <w:ind w:hanging="360"/>
        <w:rPr>
          <w:color w:val="auto"/>
        </w:rPr>
      </w:pPr>
      <w:r w:rsidRPr="0036133F">
        <w:rPr>
          <w:color w:val="auto"/>
        </w:rPr>
        <w:t>Participate</w:t>
      </w:r>
      <w:r w:rsidR="0036133F">
        <w:rPr>
          <w:color w:val="auto"/>
        </w:rPr>
        <w:t xml:space="preserve"> in your PLC meetings and Discussion Threads</w:t>
      </w:r>
    </w:p>
    <w:p w14:paraId="454C0FB8" w14:textId="77777777" w:rsidR="00650E95" w:rsidRPr="004603D4" w:rsidRDefault="00650E95" w:rsidP="00650E95"/>
    <w:p w14:paraId="1203EAA0" w14:textId="77777777" w:rsidR="00650E95" w:rsidRDefault="00650E95" w:rsidP="00650E95">
      <w:pPr>
        <w:pStyle w:val="Heading2"/>
      </w:pPr>
      <w:r>
        <w:t>Course Structure</w:t>
      </w:r>
    </w:p>
    <w:p w14:paraId="3B4CBB5D" w14:textId="0AA0C290" w:rsidR="00650E95" w:rsidRDefault="00650E95" w:rsidP="00650E95">
      <w:pPr>
        <w:widowControl w:val="0"/>
        <w:spacing w:after="240"/>
      </w:pPr>
      <w:r>
        <w:t>This course will be delivered entirely online through the course management system Canvas. You will use your UWSP account to log</w:t>
      </w:r>
      <w:r w:rsidR="00AF17B1">
        <w:t xml:space="preserve"> </w:t>
      </w:r>
      <w:r>
        <w:t xml:space="preserve">in to the course from the </w:t>
      </w:r>
      <w:hyperlink r:id="rId12" w:history="1">
        <w:r>
          <w:rPr>
            <w:rStyle w:val="Hyperlink"/>
          </w:rPr>
          <w:t>Canvas</w:t>
        </w:r>
        <w:r w:rsidRPr="00414757">
          <w:rPr>
            <w:rStyle w:val="Hyperlink"/>
          </w:rPr>
          <w:t xml:space="preserve"> Login Page</w:t>
        </w:r>
      </w:hyperlink>
      <w:r>
        <w:t xml:space="preserve">. If you have not activated your UWSP account, please visit the </w:t>
      </w:r>
      <w:hyperlink r:id="rId13" w:history="1">
        <w:r w:rsidRPr="00414757">
          <w:rPr>
            <w:rStyle w:val="Hyperlink"/>
          </w:rPr>
          <w:t>Manage Your Account</w:t>
        </w:r>
      </w:hyperlink>
      <w:r>
        <w:t xml:space="preserve"> page to do so.</w:t>
      </w:r>
    </w:p>
    <w:p w14:paraId="09BCC451" w14:textId="654205ED" w:rsidR="00650E95" w:rsidRDefault="00650E95" w:rsidP="00650E95">
      <w:pPr>
        <w:pStyle w:val="Heading2"/>
      </w:pPr>
      <w:r>
        <w:t>*Attendance</w:t>
      </w:r>
    </w:p>
    <w:p w14:paraId="30EA3C5A" w14:textId="1BCD79B2" w:rsidR="00276151" w:rsidRPr="00276151" w:rsidRDefault="00276151" w:rsidP="00276151">
      <w:r>
        <w:t xml:space="preserve">We have 5 seminars scheduled during the semester. They will be recorded, however there are deliverables associated with each seminar. If you are not able to make the seminar, work with your PLC group to do extra preparation work to account for your lack of attendance. </w:t>
      </w:r>
    </w:p>
    <w:p w14:paraId="61982971" w14:textId="77777777" w:rsidR="00650E95" w:rsidRDefault="00650E95" w:rsidP="00650E95">
      <w:pPr>
        <w:pStyle w:val="Heading2"/>
      </w:pPr>
      <w:r>
        <w:t>*Topic Outline/Schedule</w:t>
      </w:r>
    </w:p>
    <w:p w14:paraId="257AB65C" w14:textId="77777777"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6FB2A6E2" w14:textId="77777777" w:rsidR="00650E95" w:rsidRDefault="00650E95" w:rsidP="00650E95"/>
    <w:p w14:paraId="2AF04B0F" w14:textId="77777777" w:rsidR="00650E95" w:rsidRDefault="00650E95" w:rsidP="00650E95">
      <w:pPr>
        <w:ind w:left="1080"/>
      </w:pPr>
    </w:p>
    <w:p w14:paraId="5F7C57B0" w14:textId="77777777" w:rsidR="00650E95" w:rsidRDefault="00650E95" w:rsidP="00650E95">
      <w:pPr>
        <w:pStyle w:val="Heading3"/>
      </w:pPr>
      <w:r>
        <w:t xml:space="preserve">Table Format: </w:t>
      </w:r>
    </w:p>
    <w:p w14:paraId="403CE197" w14:textId="77777777" w:rsidR="00650E95" w:rsidRDefault="00650E95" w:rsidP="00650E95"/>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0"/>
        <w:gridCol w:w="2880"/>
        <w:gridCol w:w="1710"/>
        <w:gridCol w:w="2070"/>
        <w:gridCol w:w="1440"/>
      </w:tblGrid>
      <w:tr w:rsidR="00650E95" w14:paraId="232B43FC" w14:textId="77777777" w:rsidTr="000F78E9">
        <w:tc>
          <w:tcPr>
            <w:tcW w:w="1370" w:type="dxa"/>
          </w:tcPr>
          <w:p w14:paraId="7AA731D9" w14:textId="25BB48B5" w:rsidR="00650E95" w:rsidRDefault="00840EDC" w:rsidP="00004C3C">
            <w:pPr>
              <w:ind w:left="0"/>
            </w:pPr>
            <w:r>
              <w:rPr>
                <w:b/>
              </w:rPr>
              <w:t>Module</w:t>
            </w:r>
          </w:p>
        </w:tc>
        <w:tc>
          <w:tcPr>
            <w:tcW w:w="2880" w:type="dxa"/>
          </w:tcPr>
          <w:p w14:paraId="7B30436C" w14:textId="77777777" w:rsidR="00650E95" w:rsidRDefault="00650E95" w:rsidP="00004C3C">
            <w:pPr>
              <w:ind w:left="0"/>
            </w:pPr>
            <w:r>
              <w:rPr>
                <w:b/>
              </w:rPr>
              <w:t>Topic</w:t>
            </w:r>
          </w:p>
        </w:tc>
        <w:tc>
          <w:tcPr>
            <w:tcW w:w="1710" w:type="dxa"/>
          </w:tcPr>
          <w:p w14:paraId="05976E2A" w14:textId="77777777" w:rsidR="00650E95" w:rsidRDefault="00650E95" w:rsidP="00004C3C">
            <w:pPr>
              <w:ind w:left="0"/>
            </w:pPr>
            <w:r>
              <w:rPr>
                <w:b/>
              </w:rPr>
              <w:t>Readings</w:t>
            </w:r>
          </w:p>
        </w:tc>
        <w:tc>
          <w:tcPr>
            <w:tcW w:w="2070" w:type="dxa"/>
          </w:tcPr>
          <w:p w14:paraId="1D69F257" w14:textId="77777777" w:rsidR="00650E95" w:rsidRDefault="00650E95" w:rsidP="00004C3C">
            <w:pPr>
              <w:ind w:left="0"/>
            </w:pPr>
            <w:r>
              <w:rPr>
                <w:b/>
              </w:rPr>
              <w:t>Activities</w:t>
            </w:r>
          </w:p>
        </w:tc>
        <w:tc>
          <w:tcPr>
            <w:tcW w:w="1440" w:type="dxa"/>
          </w:tcPr>
          <w:p w14:paraId="0482A61C" w14:textId="77777777" w:rsidR="00650E95" w:rsidRDefault="00650E95" w:rsidP="00004C3C">
            <w:pPr>
              <w:ind w:left="0"/>
            </w:pPr>
            <w:r>
              <w:rPr>
                <w:b/>
              </w:rPr>
              <w:t>Due Date</w:t>
            </w:r>
          </w:p>
        </w:tc>
      </w:tr>
      <w:tr w:rsidR="00650E95" w14:paraId="21EE7500" w14:textId="77777777" w:rsidTr="000F78E9">
        <w:trPr>
          <w:trHeight w:val="260"/>
        </w:trPr>
        <w:tc>
          <w:tcPr>
            <w:tcW w:w="1370" w:type="dxa"/>
          </w:tcPr>
          <w:p w14:paraId="4DDBDCC8" w14:textId="26DD9326" w:rsidR="00650E95" w:rsidRDefault="00AB4DC2" w:rsidP="00004C3C">
            <w:pPr>
              <w:ind w:left="0"/>
            </w:pPr>
            <w:r>
              <w:t xml:space="preserve">1: Scarcity </w:t>
            </w:r>
          </w:p>
        </w:tc>
        <w:tc>
          <w:tcPr>
            <w:tcW w:w="2880" w:type="dxa"/>
          </w:tcPr>
          <w:p w14:paraId="06B1D461" w14:textId="72F1457C" w:rsidR="00650E95" w:rsidRDefault="00AB4DC2" w:rsidP="00AB4DC2">
            <w:pPr>
              <w:ind w:left="0"/>
            </w:pPr>
            <w:r w:rsidRPr="00AB4DC2">
              <w:t xml:space="preserve">This module is focused on reading "Scarcity" by E. </w:t>
            </w:r>
            <w:proofErr w:type="spellStart"/>
            <w:r w:rsidRPr="00AB4DC2">
              <w:t>Shafir</w:t>
            </w:r>
            <w:proofErr w:type="spellEnd"/>
            <w:r w:rsidRPr="00AB4DC2">
              <w:t xml:space="preserve"> and S. Mullainathan. As part of this module, students will have PLC book clubs and will engage in topics regarding patterns or norms that shape sustainable (or unsustainable) </w:t>
            </w:r>
          </w:p>
        </w:tc>
        <w:tc>
          <w:tcPr>
            <w:tcW w:w="1710" w:type="dxa"/>
          </w:tcPr>
          <w:p w14:paraId="6F2D3A0B" w14:textId="5C453487" w:rsidR="00650E95" w:rsidRDefault="004A300D" w:rsidP="004A300D">
            <w:pPr>
              <w:ind w:left="0"/>
            </w:pPr>
            <w:r w:rsidRPr="004A300D">
              <w:t xml:space="preserve">Read the book Scarcity by E. </w:t>
            </w:r>
            <w:proofErr w:type="spellStart"/>
            <w:r w:rsidRPr="004A300D">
              <w:t>Shafit</w:t>
            </w:r>
            <w:proofErr w:type="spellEnd"/>
            <w:r w:rsidRPr="004A300D">
              <w:t xml:space="preserve"> and S. Mullainathan</w:t>
            </w:r>
          </w:p>
        </w:tc>
        <w:tc>
          <w:tcPr>
            <w:tcW w:w="2070" w:type="dxa"/>
          </w:tcPr>
          <w:p w14:paraId="3518A9AA" w14:textId="37A5EB22" w:rsidR="00650E95" w:rsidRDefault="004A300D" w:rsidP="004A300D">
            <w:pPr>
              <w:ind w:left="0"/>
            </w:pPr>
            <w:r>
              <w:t xml:space="preserve">PLC Book Club, Discussion Post, and </w:t>
            </w:r>
            <w:r w:rsidR="005A587A">
              <w:t>s</w:t>
            </w:r>
            <w:r>
              <w:t>ynchronous seminar presentation</w:t>
            </w:r>
          </w:p>
        </w:tc>
        <w:tc>
          <w:tcPr>
            <w:tcW w:w="1440" w:type="dxa"/>
          </w:tcPr>
          <w:p w14:paraId="0E31A75E" w14:textId="0432AB2D" w:rsidR="00650E95" w:rsidRDefault="004A300D" w:rsidP="004A300D">
            <w:pPr>
              <w:ind w:left="0"/>
            </w:pPr>
            <w:r>
              <w:t>Weeks 1-3</w:t>
            </w:r>
          </w:p>
        </w:tc>
      </w:tr>
      <w:tr w:rsidR="00650E95" w14:paraId="39662CA5" w14:textId="77777777" w:rsidTr="000F78E9">
        <w:trPr>
          <w:trHeight w:val="260"/>
        </w:trPr>
        <w:tc>
          <w:tcPr>
            <w:tcW w:w="1370" w:type="dxa"/>
          </w:tcPr>
          <w:p w14:paraId="540B4F26" w14:textId="3543D991" w:rsidR="00650E95" w:rsidRDefault="00650E95" w:rsidP="00004C3C">
            <w:pPr>
              <w:ind w:left="0"/>
            </w:pPr>
            <w:r>
              <w:t>2</w:t>
            </w:r>
            <w:r w:rsidR="004A300D">
              <w:t xml:space="preserve">: </w:t>
            </w:r>
            <w:r w:rsidR="005E3590">
              <w:t>Global Trends and Patterns</w:t>
            </w:r>
          </w:p>
        </w:tc>
        <w:tc>
          <w:tcPr>
            <w:tcW w:w="2880" w:type="dxa"/>
          </w:tcPr>
          <w:p w14:paraId="50E84FF4" w14:textId="5903E58B" w:rsidR="00650E95" w:rsidRDefault="005E3590" w:rsidP="005E3590">
            <w:pPr>
              <w:ind w:left="0"/>
            </w:pPr>
            <w:r w:rsidRPr="005E3590">
              <w:t>This module is focused on understanding global social justice issues, north/south divide, poverty trends, health, development, and climate equity.</w:t>
            </w:r>
          </w:p>
        </w:tc>
        <w:tc>
          <w:tcPr>
            <w:tcW w:w="1710" w:type="dxa"/>
          </w:tcPr>
          <w:p w14:paraId="7B5013BC" w14:textId="3B59E0C2" w:rsidR="00650E95" w:rsidRDefault="005E3590" w:rsidP="005E3590">
            <w:pPr>
              <w:ind w:left="0"/>
            </w:pPr>
            <w:r>
              <w:t>Articles and videos linked in Canvas</w:t>
            </w:r>
          </w:p>
        </w:tc>
        <w:tc>
          <w:tcPr>
            <w:tcW w:w="2070" w:type="dxa"/>
          </w:tcPr>
          <w:p w14:paraId="4A121A2B" w14:textId="5EDCEFA6" w:rsidR="00650E95" w:rsidRDefault="00FF6289" w:rsidP="00FF6289">
            <w:pPr>
              <w:ind w:left="0"/>
            </w:pPr>
            <w:proofErr w:type="spellStart"/>
            <w:r>
              <w:t>Gapminder</w:t>
            </w:r>
            <w:proofErr w:type="spellEnd"/>
            <w:r>
              <w:t xml:space="preserve"> assig</w:t>
            </w:r>
            <w:r w:rsidR="00771803">
              <w:t>n</w:t>
            </w:r>
            <w:r>
              <w:t>ment</w:t>
            </w:r>
            <w:r w:rsidR="00771803">
              <w:t xml:space="preserve">, discussion post, </w:t>
            </w:r>
            <w:r w:rsidR="000F78E9">
              <w:t>Present a sustainable solution</w:t>
            </w:r>
          </w:p>
        </w:tc>
        <w:tc>
          <w:tcPr>
            <w:tcW w:w="1440" w:type="dxa"/>
          </w:tcPr>
          <w:p w14:paraId="3382BBAA" w14:textId="7E1E6065" w:rsidR="00650E95" w:rsidRDefault="000F78E9" w:rsidP="000F78E9">
            <w:pPr>
              <w:ind w:left="0"/>
            </w:pPr>
            <w:r>
              <w:t>Weeks 4-8</w:t>
            </w:r>
          </w:p>
        </w:tc>
      </w:tr>
      <w:tr w:rsidR="00650E95" w14:paraId="03A8EBF0" w14:textId="77777777" w:rsidTr="000F78E9">
        <w:tc>
          <w:tcPr>
            <w:tcW w:w="1370" w:type="dxa"/>
          </w:tcPr>
          <w:p w14:paraId="1FCB7F26" w14:textId="2A7CFE10" w:rsidR="00650E95" w:rsidRDefault="00650E95" w:rsidP="00004C3C">
            <w:pPr>
              <w:ind w:left="0"/>
            </w:pPr>
            <w:r>
              <w:t>3</w:t>
            </w:r>
            <w:r w:rsidR="000F78E9">
              <w:t>: Understanding Microaggressions</w:t>
            </w:r>
          </w:p>
        </w:tc>
        <w:tc>
          <w:tcPr>
            <w:tcW w:w="2880" w:type="dxa"/>
          </w:tcPr>
          <w:p w14:paraId="5CD99A09" w14:textId="19A63C45" w:rsidR="00650E95" w:rsidRDefault="00790147" w:rsidP="000F78E9">
            <w:pPr>
              <w:ind w:left="0"/>
            </w:pPr>
            <w:r w:rsidRPr="00790147">
              <w:t>Students will share microaggressions that they have heard, watch videos on cases of microaggressions, and work collaboratively to develop a toolkit for responding to microaggressions</w:t>
            </w:r>
          </w:p>
        </w:tc>
        <w:tc>
          <w:tcPr>
            <w:tcW w:w="1710" w:type="dxa"/>
          </w:tcPr>
          <w:p w14:paraId="22F7452E" w14:textId="75C2379D" w:rsidR="00650E95" w:rsidRDefault="007C2C04" w:rsidP="00790147">
            <w:pPr>
              <w:ind w:left="0"/>
            </w:pPr>
            <w:r>
              <w:t>Articles and videos linked in Canvas</w:t>
            </w:r>
          </w:p>
        </w:tc>
        <w:tc>
          <w:tcPr>
            <w:tcW w:w="2070" w:type="dxa"/>
          </w:tcPr>
          <w:p w14:paraId="0325BD7F" w14:textId="6AB84DF7" w:rsidR="00650E95" w:rsidRDefault="007C2C04" w:rsidP="007C2C04">
            <w:pPr>
              <w:ind w:left="0"/>
            </w:pPr>
            <w:r>
              <w:t xml:space="preserve">Discussion post, </w:t>
            </w:r>
            <w:r w:rsidR="00F850CA">
              <w:t xml:space="preserve">PLC development of microaggression toolkit, </w:t>
            </w:r>
            <w:r w:rsidR="005A587A">
              <w:t>s</w:t>
            </w:r>
            <w:r w:rsidR="00F850CA">
              <w:t>ynchronous seminar</w:t>
            </w:r>
          </w:p>
        </w:tc>
        <w:tc>
          <w:tcPr>
            <w:tcW w:w="1440" w:type="dxa"/>
          </w:tcPr>
          <w:p w14:paraId="59E36510" w14:textId="55CB86C9" w:rsidR="00650E95" w:rsidRDefault="00F850CA" w:rsidP="00F850CA">
            <w:pPr>
              <w:ind w:left="0"/>
            </w:pPr>
            <w:r>
              <w:t>Weeks 9-</w:t>
            </w:r>
            <w:r w:rsidR="00E1288E">
              <w:t>12</w:t>
            </w:r>
          </w:p>
        </w:tc>
      </w:tr>
      <w:tr w:rsidR="00650E95" w14:paraId="2C953326" w14:textId="77777777" w:rsidTr="000F78E9">
        <w:tc>
          <w:tcPr>
            <w:tcW w:w="1370" w:type="dxa"/>
          </w:tcPr>
          <w:p w14:paraId="0270077F" w14:textId="50189C7D" w:rsidR="00650E95" w:rsidRDefault="00E1288E" w:rsidP="00004C3C">
            <w:pPr>
              <w:ind w:left="0"/>
            </w:pPr>
            <w:r>
              <w:t>4: Anti-Racist Audit</w:t>
            </w:r>
          </w:p>
        </w:tc>
        <w:tc>
          <w:tcPr>
            <w:tcW w:w="2880" w:type="dxa"/>
          </w:tcPr>
          <w:p w14:paraId="1EDC342F" w14:textId="0C70D913" w:rsidR="00650E95" w:rsidRDefault="00315718" w:rsidP="00233F7D">
            <w:pPr>
              <w:ind w:left="0"/>
            </w:pPr>
            <w:r w:rsidRPr="00315718">
              <w:t>This unit focuses on an anti-racist audit that students conduct</w:t>
            </w:r>
          </w:p>
        </w:tc>
        <w:tc>
          <w:tcPr>
            <w:tcW w:w="1710" w:type="dxa"/>
          </w:tcPr>
          <w:p w14:paraId="00CAA687" w14:textId="1DB29517" w:rsidR="00650E95" w:rsidRDefault="00315718" w:rsidP="00315718">
            <w:pPr>
              <w:ind w:left="0"/>
            </w:pPr>
            <w:proofErr w:type="spellStart"/>
            <w:r w:rsidRPr="00315718">
              <w:t>Kendi</w:t>
            </w:r>
            <w:proofErr w:type="spellEnd"/>
            <w:r w:rsidRPr="00315718">
              <w:t>, I. X. (2016). Stamped from the beginning: The definitive history of racist ideas in America. Hachette UK.</w:t>
            </w:r>
          </w:p>
        </w:tc>
        <w:tc>
          <w:tcPr>
            <w:tcW w:w="2070" w:type="dxa"/>
          </w:tcPr>
          <w:p w14:paraId="79633D0A" w14:textId="418A971A" w:rsidR="00650E95" w:rsidRDefault="00315718" w:rsidP="00315718">
            <w:pPr>
              <w:ind w:left="0"/>
            </w:pPr>
            <w:r>
              <w:t>Discussion Post, PLC meeting, Anti</w:t>
            </w:r>
            <w:r w:rsidR="0061193D">
              <w:t>-racist audit, and synchronous seminar</w:t>
            </w:r>
          </w:p>
        </w:tc>
        <w:tc>
          <w:tcPr>
            <w:tcW w:w="1440" w:type="dxa"/>
          </w:tcPr>
          <w:p w14:paraId="6F29AB15" w14:textId="7845AE28" w:rsidR="00650E95" w:rsidRDefault="00161AE6" w:rsidP="00161AE6">
            <w:pPr>
              <w:ind w:left="0"/>
            </w:pPr>
            <w:r>
              <w:t>Weeks 13-16</w:t>
            </w:r>
          </w:p>
        </w:tc>
      </w:tr>
    </w:tbl>
    <w:p w14:paraId="72D80FA5" w14:textId="730C7389" w:rsidR="00650E95" w:rsidRDefault="00650E95" w:rsidP="00650E95">
      <w:pPr>
        <w:pStyle w:val="InstructorFill"/>
      </w:pPr>
      <w:r>
        <w:br/>
      </w:r>
    </w:p>
    <w:p w14:paraId="65DD1AC9" w14:textId="77777777" w:rsidR="00650E95" w:rsidRDefault="00650E95" w:rsidP="00650E95">
      <w:pPr>
        <w:pStyle w:val="Heading2"/>
      </w:pPr>
      <w:r w:rsidRPr="4FD3A8E3">
        <w:lastRenderedPageBreak/>
        <w:t>Student 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77777777" w:rsidR="00650E95" w:rsidRDefault="00650E95" w:rsidP="00650E95">
      <w:pPr>
        <w:pStyle w:val="ListParagraph"/>
        <w:numPr>
          <w:ilvl w:val="0"/>
          <w:numId w:val="4"/>
        </w:numPr>
      </w:pPr>
      <w:r w:rsidRPr="4FD3A8E3">
        <w:t>download and upload documents to the LMS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63A4D88" w14:textId="77777777" w:rsidR="00650E95" w:rsidRDefault="00650E95" w:rsidP="00650E95">
      <w:pPr>
        <w:pStyle w:val="ListParagraph"/>
        <w:numPr>
          <w:ilvl w:val="0"/>
          <w:numId w:val="4"/>
        </w:numPr>
      </w:pPr>
      <w:r w:rsidRPr="4FD3A8E3">
        <w:t>participate in online discussions</w:t>
      </w:r>
    </w:p>
    <w:p w14:paraId="25BD2B41" w14:textId="77777777" w:rsidR="00650E95" w:rsidRDefault="00650E95" w:rsidP="00650E95">
      <w:pPr>
        <w:pStyle w:val="ListParagraph"/>
        <w:numPr>
          <w:ilvl w:val="0"/>
          <w:numId w:val="4"/>
        </w:numPr>
      </w:pPr>
      <w:r w:rsidRPr="4FD3A8E3">
        <w:t>complete quizzes/tests online</w:t>
      </w:r>
    </w:p>
    <w:p w14:paraId="65313613" w14:textId="77777777" w:rsidR="00650E95" w:rsidRDefault="00650E95" w:rsidP="00650E95">
      <w:pPr>
        <w:pStyle w:val="ListParagraph"/>
        <w:numPr>
          <w:ilvl w:val="0"/>
          <w:numId w:val="4"/>
        </w:numPr>
      </w:pPr>
      <w:r w:rsidRPr="4FD3A8E3">
        <w:t xml:space="preserve">upload documents to </w:t>
      </w:r>
      <w:r>
        <w:t>Canvas to submit an assignment</w:t>
      </w:r>
    </w:p>
    <w:p w14:paraId="2BF47276" w14:textId="77777777" w:rsidR="00650E95" w:rsidRDefault="00650E95" w:rsidP="00650E95">
      <w:pPr>
        <w:pStyle w:val="ListParagraph"/>
        <w:numPr>
          <w:ilvl w:val="0"/>
          <w:numId w:val="4"/>
        </w:numPr>
      </w:pPr>
      <w:r w:rsidRPr="4FD3A8E3">
        <w:t>participate in synchronous onlin</w:t>
      </w:r>
      <w:r>
        <w:t>e discussions</w:t>
      </w:r>
    </w:p>
    <w:p w14:paraId="5BD7E07F" w14:textId="77777777" w:rsidR="00650E95" w:rsidRDefault="00650E95" w:rsidP="00650E95">
      <w:pPr>
        <w:pStyle w:val="Heading1"/>
      </w:pPr>
      <w:r>
        <w:t>Technology</w:t>
      </w:r>
    </w:p>
    <w:p w14:paraId="03CC5ADB" w14:textId="77777777" w:rsidR="00650E95" w:rsidRDefault="00650E95" w:rsidP="00650E95"/>
    <w:p w14:paraId="51C63A8E" w14:textId="77777777" w:rsidR="00650E95" w:rsidRDefault="00650E95" w:rsidP="00650E95">
      <w:pPr>
        <w:pStyle w:val="Heading2"/>
      </w:pPr>
      <w:r>
        <w:t>Canvas Support</w:t>
      </w:r>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4">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4C046C">
              <v:rect id="Rectangle 2"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Help button snip-1.PNG" o:spid="_x0000_s1026" filled="f" stroked="f" w14:anchorId="431AE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proofErr w:type="gramStart"/>
            <w:r w:rsidRPr="00F83981">
              <w:rPr>
                <w:rFonts w:ascii="Times New Roman" w:eastAsia="Times New Roman" w:hAnsi="Times New Roman" w:cs="Times New Roman"/>
                <w:sz w:val="24"/>
                <w:szCs w:val="24"/>
              </w:rPr>
              <w:t>particular difficulty</w:t>
            </w:r>
            <w:proofErr w:type="gramEnd"/>
            <w:r w:rsidRPr="00F83981">
              <w:rPr>
                <w:rFonts w:ascii="Times New Roman" w:eastAsia="Times New Roman" w:hAnsi="Times New Roman" w:cs="Times New Roman"/>
                <w:sz w:val="24"/>
                <w:szCs w:val="24"/>
              </w:rPr>
              <w:t>. </w:t>
            </w:r>
          </w:p>
        </w:tc>
      </w:tr>
      <w:tr w:rsidR="00650E95" w14:paraId="5FB405F5" w14:textId="77777777" w:rsidTr="00004C3C">
        <w:trPr>
          <w:trHeight w:val="544"/>
        </w:trPr>
        <w:tc>
          <w:tcPr>
            <w:tcW w:w="4765" w:type="dxa"/>
          </w:tcPr>
          <w:p w14:paraId="377D19F3"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0"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1"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lastRenderedPageBreak/>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 xml:space="preserve">Submit a </w:t>
            </w:r>
            <w:proofErr w:type="gramStart"/>
            <w:r w:rsidRPr="000E3C07">
              <w:rPr>
                <w:rFonts w:ascii="Times New Roman" w:eastAsia="Times New Roman" w:hAnsi="Times New Roman" w:cs="Times New Roman"/>
                <w:b/>
                <w:sz w:val="24"/>
                <w:szCs w:val="24"/>
              </w:rPr>
              <w:t>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avenue</w:t>
            </w:r>
            <w:proofErr w:type="gramEnd"/>
            <w:r>
              <w:rPr>
                <w:rFonts w:ascii="Times New Roman" w:eastAsia="Times New Roman" w:hAnsi="Times New Roman" w:cs="Times New Roman"/>
                <w:sz w:val="24"/>
                <w:szCs w:val="24"/>
              </w:rPr>
              <w:t xml:space="preserv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23"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24"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650E95">
      <w:pPr>
        <w:numPr>
          <w:ilvl w:val="1"/>
          <w:numId w:val="4"/>
        </w:numPr>
        <w:spacing w:after="60"/>
      </w:pPr>
      <w:r w:rsidRPr="4FD3A8E3">
        <w:rPr>
          <w:color w:val="auto"/>
        </w:rPr>
        <w:t>webcam</w:t>
      </w:r>
    </w:p>
    <w:p w14:paraId="1C2D8B20" w14:textId="77777777" w:rsidR="00650E95" w:rsidRDefault="00650E95" w:rsidP="00650E95">
      <w:pPr>
        <w:numPr>
          <w:ilvl w:val="1"/>
          <w:numId w:val="4"/>
        </w:numPr>
        <w:spacing w:after="60"/>
      </w:pPr>
      <w:r w:rsidRPr="4FD3A8E3">
        <w:rPr>
          <w:color w:val="auto"/>
        </w:rPr>
        <w:t>microphone</w:t>
      </w:r>
    </w:p>
    <w:p w14:paraId="1A3F07D8" w14:textId="77777777" w:rsidR="00650E95" w:rsidRDefault="00650E95" w:rsidP="00650E95">
      <w:pPr>
        <w:numPr>
          <w:ilvl w:val="1"/>
          <w:numId w:val="4"/>
        </w:numPr>
        <w:spacing w:after="60"/>
      </w:pPr>
      <w:r w:rsidRPr="4FD3A8E3">
        <w:rPr>
          <w:color w:val="auto"/>
        </w:rPr>
        <w:t>printer</w:t>
      </w:r>
    </w:p>
    <w:p w14:paraId="7F1CAC4D" w14:textId="77777777" w:rsidR="00650E95" w:rsidRDefault="00650E95" w:rsidP="00650E95">
      <w:pPr>
        <w:numPr>
          <w:ilvl w:val="1"/>
          <w:numId w:val="4"/>
        </w:numPr>
        <w:spacing w:after="60"/>
      </w:pPr>
      <w:r w:rsidRPr="4FD3A8E3">
        <w:rPr>
          <w:color w:val="auto"/>
        </w:rPr>
        <w:t>a stable internet connection (don't rely on cellular)</w:t>
      </w:r>
    </w:p>
    <w:p w14:paraId="059314EE" w14:textId="77777777" w:rsidR="00650E95" w:rsidRPr="00B94AE3" w:rsidRDefault="00650E95" w:rsidP="00650E95"/>
    <w:p w14:paraId="7696B005" w14:textId="77777777" w:rsidR="00650E95" w:rsidRDefault="00650E95" w:rsidP="00650E95">
      <w:pPr>
        <w:pStyle w:val="Heading2"/>
      </w:pPr>
      <w:r>
        <w:t>Protecting your Data and Privacy</w:t>
      </w:r>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25"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Have updated antivirus software installed on your devices</w:t>
      </w:r>
    </w:p>
    <w:p w14:paraId="67DC8644" w14:textId="77777777" w:rsidR="00650E95" w:rsidRDefault="00650E95" w:rsidP="00650E95"/>
    <w:p w14:paraId="1217D11F" w14:textId="77777777" w:rsidR="00650E95" w:rsidRDefault="00650E95" w:rsidP="00650E95"/>
    <w:p w14:paraId="3E9FBD26" w14:textId="77777777" w:rsidR="00650E95" w:rsidRDefault="00650E95" w:rsidP="00650E95">
      <w:r>
        <w:t xml:space="preserve">This course requires posting of work online that is viewable only by your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t>
      </w:r>
      <w:r>
        <w:lastRenderedPageBreak/>
        <w:t>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112830D3" w14:textId="77777777" w:rsidR="00650E95" w:rsidRPr="001432DD" w:rsidRDefault="00650E95" w:rsidP="00650E95">
      <w:pPr>
        <w:ind w:left="0"/>
      </w:pPr>
    </w:p>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6">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7">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8">
        <w:r w:rsidRPr="257A4FD1">
          <w:rPr>
            <w:rStyle w:val="Hyperlink"/>
          </w:rPr>
          <w:t>techhelp@uwsp.edu</w:t>
        </w:r>
      </w:hyperlink>
      <w:r w:rsidRPr="257A4FD1">
        <w:t xml:space="preserve"> </w:t>
      </w:r>
    </w:p>
    <w:p w14:paraId="541CF47B" w14:textId="77777777" w:rsidR="00650E95" w:rsidRDefault="00650E95" w:rsidP="00650E95">
      <w:pPr>
        <w:pStyle w:val="Heading1"/>
      </w:pPr>
      <w:r>
        <w:t>Grading Policies</w:t>
      </w:r>
    </w:p>
    <w:p w14:paraId="75DBF6DC" w14:textId="77777777" w:rsidR="00650E95" w:rsidRDefault="00650E95" w:rsidP="00650E95">
      <w:pPr>
        <w:pStyle w:val="Heading2"/>
      </w:pPr>
      <w:r>
        <w:t>Completing Assignments</w:t>
      </w:r>
    </w:p>
    <w:p w14:paraId="129A5082" w14:textId="77777777"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instructor </w:t>
      </w:r>
      <w:r>
        <w:rPr>
          <w:i/>
        </w:rPr>
        <w:t>before the due date</w:t>
      </w:r>
      <w:r>
        <w:t xml:space="preserve">. Extensions will not be given beyond the next assignment except under extreme circumstances. </w:t>
      </w:r>
    </w:p>
    <w:p w14:paraId="450F44FF" w14:textId="77777777" w:rsidR="00650E95" w:rsidRDefault="00650E95" w:rsidP="00650E95">
      <w:pPr>
        <w:widowControl w:val="0"/>
        <w:spacing w:after="240"/>
      </w:pPr>
      <w:r>
        <w:t>All discussion assignments must be completed by the assignment due date and time. Late or missing discussion assignments will affect the student’s grade.</w:t>
      </w:r>
    </w:p>
    <w:p w14:paraId="75D6C632" w14:textId="77777777" w:rsidR="00650E95" w:rsidRDefault="00650E95" w:rsidP="00650E95">
      <w:pPr>
        <w:pStyle w:val="Heading2"/>
      </w:pPr>
      <w:r>
        <w:t xml:space="preserve">Graded Course Activities </w:t>
      </w:r>
    </w:p>
    <w:p w14:paraId="4BDC6639" w14:textId="43764AA7" w:rsidR="00650E95" w:rsidRDefault="00650E95" w:rsidP="00650E95">
      <w:pPr>
        <w:widowControl w:val="0"/>
        <w:spacing w:after="240"/>
      </w:pPr>
      <w:r>
        <w:t xml:space="preserve">Click the </w:t>
      </w:r>
      <w:r w:rsidR="00192FA5">
        <w:rPr>
          <w:b/>
          <w:bCs/>
        </w:rPr>
        <w:t>Grades</w:t>
      </w:r>
      <w:r>
        <w:t xml:space="preserve"> link in Canvas to access </w:t>
      </w:r>
      <w:r w:rsidR="00D016E9">
        <w:t>the gradebook and view feedback from your instructor.</w:t>
      </w:r>
      <w:r>
        <w:t xml:space="preserve"> Click the </w:t>
      </w:r>
      <w:r>
        <w:rPr>
          <w:b/>
        </w:rPr>
        <w:t xml:space="preserve">Syllabus </w:t>
      </w:r>
      <w:r>
        <w:t xml:space="preserve">link to see a chronological listing of assignments. </w:t>
      </w:r>
    </w:p>
    <w:p w14:paraId="2C1AB745" w14:textId="5D13BA4D" w:rsidR="00654C2E" w:rsidRDefault="00654C2E" w:rsidP="00650E95">
      <w:pPr>
        <w:widowControl w:val="0"/>
        <w:spacing w:after="240"/>
      </w:pPr>
      <w:r>
        <w:t>The points associated with the assignments for this course are as follows:</w:t>
      </w:r>
    </w:p>
    <w:tbl>
      <w:tblPr>
        <w:tblStyle w:val="TableGrid"/>
        <w:tblW w:w="0" w:type="auto"/>
        <w:tblInd w:w="720" w:type="dxa"/>
        <w:tblLook w:val="04A0" w:firstRow="1" w:lastRow="0" w:firstColumn="1" w:lastColumn="0" w:noHBand="0" w:noVBand="1"/>
      </w:tblPr>
      <w:tblGrid>
        <w:gridCol w:w="2888"/>
        <w:gridCol w:w="2972"/>
        <w:gridCol w:w="2770"/>
      </w:tblGrid>
      <w:tr w:rsidR="00654C2E" w14:paraId="45C12F02" w14:textId="77777777" w:rsidTr="00C66700">
        <w:tc>
          <w:tcPr>
            <w:tcW w:w="2888" w:type="dxa"/>
          </w:tcPr>
          <w:p w14:paraId="1A407AD5" w14:textId="5235836C" w:rsidR="00654C2E" w:rsidRDefault="00654C2E" w:rsidP="00654C2E">
            <w:pPr>
              <w:pStyle w:val="Heading2"/>
              <w:outlineLvl w:val="1"/>
            </w:pPr>
            <w:r>
              <w:t>Module</w:t>
            </w:r>
          </w:p>
        </w:tc>
        <w:tc>
          <w:tcPr>
            <w:tcW w:w="2972" w:type="dxa"/>
          </w:tcPr>
          <w:p w14:paraId="36B50B75" w14:textId="29D42A8A" w:rsidR="00654C2E" w:rsidRDefault="00654C2E" w:rsidP="00654C2E">
            <w:pPr>
              <w:pStyle w:val="Heading2"/>
              <w:outlineLvl w:val="1"/>
            </w:pPr>
            <w:r>
              <w:t>Assignment</w:t>
            </w:r>
          </w:p>
        </w:tc>
        <w:tc>
          <w:tcPr>
            <w:tcW w:w="2770" w:type="dxa"/>
          </w:tcPr>
          <w:p w14:paraId="5A854552" w14:textId="5D82C787" w:rsidR="00654C2E" w:rsidRDefault="00654C2E" w:rsidP="00654C2E">
            <w:pPr>
              <w:pStyle w:val="Heading2"/>
              <w:outlineLvl w:val="1"/>
            </w:pPr>
            <w:r>
              <w:t>Points</w:t>
            </w:r>
          </w:p>
        </w:tc>
      </w:tr>
      <w:tr w:rsidR="00654C2E" w14:paraId="5ABDF477" w14:textId="77777777" w:rsidTr="00C66700">
        <w:tc>
          <w:tcPr>
            <w:tcW w:w="2888" w:type="dxa"/>
          </w:tcPr>
          <w:p w14:paraId="1F353FDD" w14:textId="07D595FB" w:rsidR="00654C2E" w:rsidRDefault="00654C2E" w:rsidP="00650E95">
            <w:pPr>
              <w:widowControl w:val="0"/>
              <w:spacing w:after="240"/>
              <w:ind w:left="0"/>
            </w:pPr>
            <w:r>
              <w:t>Course Introduction module</w:t>
            </w:r>
          </w:p>
        </w:tc>
        <w:tc>
          <w:tcPr>
            <w:tcW w:w="2972" w:type="dxa"/>
          </w:tcPr>
          <w:p w14:paraId="58DFB67C" w14:textId="6DC44E3A" w:rsidR="00654C2E" w:rsidRDefault="00654C2E" w:rsidP="00650E95">
            <w:pPr>
              <w:widowControl w:val="0"/>
              <w:spacing w:after="240"/>
              <w:ind w:left="0"/>
            </w:pPr>
            <w:r>
              <w:t>Icebreaker</w:t>
            </w:r>
          </w:p>
        </w:tc>
        <w:tc>
          <w:tcPr>
            <w:tcW w:w="2770" w:type="dxa"/>
          </w:tcPr>
          <w:p w14:paraId="19688B8A" w14:textId="1EF9FE6F" w:rsidR="00654C2E" w:rsidRDefault="00654C2E" w:rsidP="00650E95">
            <w:pPr>
              <w:widowControl w:val="0"/>
              <w:spacing w:after="240"/>
              <w:ind w:left="0"/>
            </w:pPr>
            <w:r>
              <w:t>4</w:t>
            </w:r>
          </w:p>
        </w:tc>
      </w:tr>
      <w:tr w:rsidR="00654C2E" w14:paraId="78B662D7" w14:textId="77777777" w:rsidTr="00C66700">
        <w:tc>
          <w:tcPr>
            <w:tcW w:w="2888" w:type="dxa"/>
          </w:tcPr>
          <w:p w14:paraId="44585013" w14:textId="06334873" w:rsidR="00654C2E" w:rsidRDefault="00654C2E" w:rsidP="00650E95">
            <w:pPr>
              <w:widowControl w:val="0"/>
              <w:spacing w:after="240"/>
              <w:ind w:left="0"/>
            </w:pPr>
            <w:r>
              <w:t>Module 1: Scarcity</w:t>
            </w:r>
          </w:p>
        </w:tc>
        <w:tc>
          <w:tcPr>
            <w:tcW w:w="2972" w:type="dxa"/>
          </w:tcPr>
          <w:p w14:paraId="0B04B063" w14:textId="18E67C69" w:rsidR="00654C2E" w:rsidRDefault="00654C2E" w:rsidP="00650E95">
            <w:pPr>
              <w:widowControl w:val="0"/>
              <w:spacing w:after="240"/>
              <w:ind w:left="0"/>
            </w:pPr>
            <w:r>
              <w:t>PLC Discussion &amp; Preparation for Synchronous seminar</w:t>
            </w:r>
          </w:p>
        </w:tc>
        <w:tc>
          <w:tcPr>
            <w:tcW w:w="2770" w:type="dxa"/>
          </w:tcPr>
          <w:p w14:paraId="4DEF8461" w14:textId="6BA96410" w:rsidR="00654C2E" w:rsidRDefault="00654C2E" w:rsidP="00650E95">
            <w:pPr>
              <w:widowControl w:val="0"/>
              <w:spacing w:after="240"/>
              <w:ind w:left="0"/>
            </w:pPr>
            <w:r>
              <w:t>15</w:t>
            </w:r>
          </w:p>
        </w:tc>
      </w:tr>
      <w:tr w:rsidR="00654C2E" w14:paraId="55A4F0D9" w14:textId="77777777" w:rsidTr="00C66700">
        <w:tc>
          <w:tcPr>
            <w:tcW w:w="2888" w:type="dxa"/>
          </w:tcPr>
          <w:p w14:paraId="07FAB7A3" w14:textId="66D219BB" w:rsidR="00654C2E" w:rsidRDefault="00654C2E" w:rsidP="00650E95">
            <w:pPr>
              <w:widowControl w:val="0"/>
              <w:spacing w:after="240"/>
              <w:ind w:left="0"/>
            </w:pPr>
            <w:r>
              <w:lastRenderedPageBreak/>
              <w:t>Module 2: Global trends and patterns</w:t>
            </w:r>
          </w:p>
        </w:tc>
        <w:tc>
          <w:tcPr>
            <w:tcW w:w="2972" w:type="dxa"/>
          </w:tcPr>
          <w:p w14:paraId="3863A07D" w14:textId="3563074B" w:rsidR="00654C2E" w:rsidRDefault="00654C2E" w:rsidP="00650E95">
            <w:pPr>
              <w:widowControl w:val="0"/>
              <w:spacing w:after="240"/>
              <w:ind w:left="0"/>
            </w:pPr>
            <w:r>
              <w:t xml:space="preserve">Discussion; sustainable solution; </w:t>
            </w:r>
            <w:proofErr w:type="spellStart"/>
            <w:r>
              <w:t>Gapminder</w:t>
            </w:r>
            <w:proofErr w:type="spellEnd"/>
          </w:p>
        </w:tc>
        <w:tc>
          <w:tcPr>
            <w:tcW w:w="2770" w:type="dxa"/>
          </w:tcPr>
          <w:p w14:paraId="61109EB2" w14:textId="440F4FB8" w:rsidR="00654C2E" w:rsidRDefault="00654C2E" w:rsidP="00650E95">
            <w:pPr>
              <w:widowControl w:val="0"/>
              <w:spacing w:after="240"/>
              <w:ind w:left="0"/>
            </w:pPr>
            <w:r>
              <w:t>3</w:t>
            </w:r>
            <w:r w:rsidR="00EE7887">
              <w:t>0</w:t>
            </w:r>
          </w:p>
        </w:tc>
      </w:tr>
      <w:tr w:rsidR="00654C2E" w14:paraId="5032166A" w14:textId="77777777" w:rsidTr="00C66700">
        <w:tc>
          <w:tcPr>
            <w:tcW w:w="2888" w:type="dxa"/>
          </w:tcPr>
          <w:p w14:paraId="33B89B09" w14:textId="3817AE85" w:rsidR="00654C2E" w:rsidRDefault="00C66700" w:rsidP="00650E95">
            <w:pPr>
              <w:widowControl w:val="0"/>
              <w:spacing w:after="240"/>
              <w:ind w:left="0"/>
            </w:pPr>
            <w:r>
              <w:t>Module 3: Understanding microaggressions</w:t>
            </w:r>
          </w:p>
        </w:tc>
        <w:tc>
          <w:tcPr>
            <w:tcW w:w="2972" w:type="dxa"/>
          </w:tcPr>
          <w:p w14:paraId="4C2078D1" w14:textId="54E20C80" w:rsidR="00654C2E" w:rsidRDefault="00C66700" w:rsidP="00650E95">
            <w:pPr>
              <w:widowControl w:val="0"/>
              <w:spacing w:after="240"/>
              <w:ind w:left="0"/>
            </w:pPr>
            <w:r>
              <w:t>Discussion; PLC; Seminar</w:t>
            </w:r>
          </w:p>
        </w:tc>
        <w:tc>
          <w:tcPr>
            <w:tcW w:w="2770" w:type="dxa"/>
          </w:tcPr>
          <w:p w14:paraId="14C7CDE2" w14:textId="37631FD1" w:rsidR="00654C2E" w:rsidRDefault="00C66700" w:rsidP="00650E95">
            <w:pPr>
              <w:widowControl w:val="0"/>
              <w:spacing w:after="240"/>
              <w:ind w:left="0"/>
            </w:pPr>
            <w:r>
              <w:t>20</w:t>
            </w:r>
          </w:p>
        </w:tc>
      </w:tr>
      <w:tr w:rsidR="00654C2E" w14:paraId="4F3569D4" w14:textId="77777777" w:rsidTr="00C66700">
        <w:tc>
          <w:tcPr>
            <w:tcW w:w="2888" w:type="dxa"/>
          </w:tcPr>
          <w:p w14:paraId="2C92CD01" w14:textId="0E750C6E" w:rsidR="00654C2E" w:rsidRDefault="00C66700" w:rsidP="00650E95">
            <w:pPr>
              <w:widowControl w:val="0"/>
              <w:spacing w:after="240"/>
              <w:ind w:left="0"/>
            </w:pPr>
            <w:r>
              <w:t>Module 4: Anti-racist audit</w:t>
            </w:r>
          </w:p>
        </w:tc>
        <w:tc>
          <w:tcPr>
            <w:tcW w:w="2972" w:type="dxa"/>
          </w:tcPr>
          <w:p w14:paraId="16CF79CE" w14:textId="104E0F58" w:rsidR="00654C2E" w:rsidRDefault="00C66700" w:rsidP="00650E95">
            <w:pPr>
              <w:widowControl w:val="0"/>
              <w:spacing w:after="240"/>
              <w:ind w:left="0"/>
            </w:pPr>
            <w:r>
              <w:t>PLC; Discussion; audit, &amp; overall PLC contribution</w:t>
            </w:r>
          </w:p>
        </w:tc>
        <w:tc>
          <w:tcPr>
            <w:tcW w:w="2770" w:type="dxa"/>
          </w:tcPr>
          <w:p w14:paraId="30809087" w14:textId="6CFB4968" w:rsidR="00654C2E" w:rsidRDefault="00C66700" w:rsidP="00650E95">
            <w:pPr>
              <w:widowControl w:val="0"/>
              <w:spacing w:after="240"/>
              <w:ind w:left="0"/>
            </w:pPr>
            <w:r>
              <w:t>54</w:t>
            </w:r>
          </w:p>
        </w:tc>
      </w:tr>
      <w:tr w:rsidR="00654C2E" w14:paraId="393A1F8F" w14:textId="77777777" w:rsidTr="00C66700">
        <w:tc>
          <w:tcPr>
            <w:tcW w:w="2888" w:type="dxa"/>
          </w:tcPr>
          <w:p w14:paraId="4F29BB3D" w14:textId="79773DA2" w:rsidR="00654C2E" w:rsidRDefault="00C66700" w:rsidP="00650E95">
            <w:pPr>
              <w:widowControl w:val="0"/>
              <w:spacing w:after="240"/>
              <w:ind w:left="0"/>
            </w:pPr>
            <w:r>
              <w:t>Total points possible</w:t>
            </w:r>
          </w:p>
        </w:tc>
        <w:tc>
          <w:tcPr>
            <w:tcW w:w="2972" w:type="dxa"/>
          </w:tcPr>
          <w:p w14:paraId="0F00E91B" w14:textId="77777777" w:rsidR="00654C2E" w:rsidRDefault="00654C2E" w:rsidP="00650E95">
            <w:pPr>
              <w:widowControl w:val="0"/>
              <w:spacing w:after="240"/>
              <w:ind w:left="0"/>
            </w:pPr>
          </w:p>
        </w:tc>
        <w:tc>
          <w:tcPr>
            <w:tcW w:w="2770" w:type="dxa"/>
          </w:tcPr>
          <w:p w14:paraId="30FB7166" w14:textId="27085051" w:rsidR="00654C2E" w:rsidRDefault="00C66700" w:rsidP="00650E95">
            <w:pPr>
              <w:widowControl w:val="0"/>
              <w:spacing w:after="240"/>
              <w:ind w:left="0"/>
            </w:pPr>
            <w:r>
              <w:t>12</w:t>
            </w:r>
            <w:r w:rsidR="00EE7887">
              <w:t>3</w:t>
            </w:r>
          </w:p>
        </w:tc>
      </w:tr>
    </w:tbl>
    <w:p w14:paraId="58DF0266" w14:textId="77777777" w:rsidR="00654C2E" w:rsidRDefault="00654C2E" w:rsidP="00650E95">
      <w:pPr>
        <w:widowControl w:val="0"/>
        <w:spacing w:after="240"/>
      </w:pPr>
    </w:p>
    <w:p w14:paraId="628845A6" w14:textId="77777777" w:rsidR="00650E95" w:rsidRDefault="00650E95" w:rsidP="00650E95">
      <w:pPr>
        <w:pStyle w:val="Heading2"/>
      </w:pPr>
      <w:r>
        <w:t xml:space="preserve">Late Work Policy </w:t>
      </w:r>
    </w:p>
    <w:p w14:paraId="20E4C9B9" w14:textId="542C7C8D" w:rsidR="00650E95" w:rsidRPr="00452B9F" w:rsidRDefault="00650E95" w:rsidP="00650E95">
      <w:pPr>
        <w:widowControl w:val="0"/>
        <w:spacing w:after="240"/>
        <w:rPr>
          <w:color w:val="auto"/>
        </w:rPr>
      </w:pPr>
      <w:r w:rsidRPr="00452B9F">
        <w:rPr>
          <w:color w:val="auto"/>
        </w:rPr>
        <w:t>Be sure to pay close attention to deadlines</w:t>
      </w:r>
      <w:r w:rsidR="0048521A" w:rsidRPr="00452B9F">
        <w:rPr>
          <w:color w:val="auto"/>
        </w:rPr>
        <w:t>. If you subm</w:t>
      </w:r>
      <w:r w:rsidR="00452B9F" w:rsidRPr="00452B9F">
        <w:rPr>
          <w:color w:val="auto"/>
        </w:rPr>
        <w:t>it an assignment</w:t>
      </w:r>
      <w:r w:rsidRPr="00452B9F">
        <w:rPr>
          <w:color w:val="auto"/>
        </w:rPr>
        <w:t xml:space="preserve"> late</w:t>
      </w:r>
      <w:r w:rsidR="007802C4">
        <w:rPr>
          <w:color w:val="auto"/>
        </w:rPr>
        <w:t>,</w:t>
      </w:r>
      <w:r w:rsidRPr="00452B9F">
        <w:rPr>
          <w:color w:val="auto"/>
        </w:rPr>
        <w:t xml:space="preserve"> </w:t>
      </w:r>
      <w:r w:rsidR="00452B9F" w:rsidRPr="00452B9F">
        <w:rPr>
          <w:color w:val="auto"/>
        </w:rPr>
        <w:t>please email your instructor(s) with the</w:t>
      </w:r>
      <w:r w:rsidRPr="00452B9F">
        <w:rPr>
          <w:color w:val="auto"/>
        </w:rPr>
        <w:t xml:space="preserve"> reason and instructor approval</w:t>
      </w:r>
      <w:r w:rsidR="00452B9F" w:rsidRPr="00452B9F">
        <w:rPr>
          <w:color w:val="auto"/>
        </w:rPr>
        <w:t xml:space="preserve"> on revised deadline</w:t>
      </w:r>
      <w:r w:rsidRPr="00452B9F">
        <w:rPr>
          <w:color w:val="auto"/>
        </w:rPr>
        <w:t>.</w:t>
      </w:r>
    </w:p>
    <w:p w14:paraId="041B7E93" w14:textId="77777777" w:rsidR="00650E95" w:rsidRDefault="00650E95" w:rsidP="00650E95">
      <w:pPr>
        <w:pStyle w:val="Heading2"/>
      </w:pPr>
      <w:r>
        <w:t>*Letter Grade Assignment</w:t>
      </w:r>
    </w:p>
    <w:p w14:paraId="2DD38201" w14:textId="5652D6FB" w:rsidR="00650E95" w:rsidRPr="00452B9F" w:rsidRDefault="00650E95" w:rsidP="00650E95">
      <w:pPr>
        <w:widowControl w:val="0"/>
        <w:spacing w:after="240"/>
        <w:rPr>
          <w:color w:val="auto"/>
        </w:rPr>
      </w:pPr>
      <w:r w:rsidRPr="00452B9F">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7777777" w:rsidR="00650E95" w:rsidRDefault="00650E95" w:rsidP="00004C3C">
            <w:r>
              <w:t>93-100%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1E6E5071" w:rsidR="00650E95" w:rsidRDefault="00650E95" w:rsidP="00004C3C">
            <w:r>
              <w:t>90-92</w:t>
            </w:r>
            <w:r w:rsidR="00A24811">
              <w:t>.99</w:t>
            </w:r>
            <w:r>
              <w:t>%</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5040CDB5" w:rsidR="00650E95" w:rsidRDefault="00650E95" w:rsidP="00004C3C">
            <w:r>
              <w:t>87-89</w:t>
            </w:r>
            <w:r w:rsidR="00A24811">
              <w:t>.99</w:t>
            </w:r>
            <w:r>
              <w:t>%</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t>B</w:t>
            </w:r>
          </w:p>
        </w:tc>
        <w:tc>
          <w:tcPr>
            <w:tcW w:w="2425" w:type="dxa"/>
            <w:vAlign w:val="center"/>
          </w:tcPr>
          <w:p w14:paraId="737B0DAE" w14:textId="23F6224F" w:rsidR="00650E95" w:rsidRDefault="00650E95" w:rsidP="00004C3C">
            <w:r>
              <w:t>83-86</w:t>
            </w:r>
            <w:r w:rsidR="00A24811">
              <w:t>.99</w:t>
            </w:r>
            <w:r>
              <w:t>%</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2A4E54A6" w:rsidR="00650E95" w:rsidRDefault="00650E95" w:rsidP="00004C3C">
            <w:r>
              <w:t>80-82</w:t>
            </w:r>
            <w:r w:rsidR="00A24811">
              <w:t>.99</w:t>
            </w:r>
            <w:r>
              <w:t>%</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1820A8FB" w:rsidR="00650E95" w:rsidRDefault="00650E95" w:rsidP="00004C3C">
            <w:r>
              <w:t>77-79</w:t>
            </w:r>
            <w:r w:rsidR="00A24811">
              <w:t>.99</w:t>
            </w:r>
            <w:r>
              <w:t>%</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t>C</w:t>
            </w:r>
          </w:p>
        </w:tc>
        <w:tc>
          <w:tcPr>
            <w:tcW w:w="2425" w:type="dxa"/>
            <w:vAlign w:val="center"/>
          </w:tcPr>
          <w:p w14:paraId="51D3D89E" w14:textId="2D6891CD" w:rsidR="00650E95" w:rsidRDefault="00650E95" w:rsidP="00004C3C">
            <w:r>
              <w:t>73-76</w:t>
            </w:r>
            <w:r w:rsidR="00FC6FAD">
              <w:t>.99</w:t>
            </w:r>
            <w:r>
              <w:t>%</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30D30139" w:rsidR="00650E95" w:rsidRDefault="00650E95" w:rsidP="00004C3C">
            <w:r>
              <w:t>70-72</w:t>
            </w:r>
            <w:r w:rsidR="00FC6FAD">
              <w:t>.99</w:t>
            </w:r>
            <w:r>
              <w:t>%</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12CACD48" w:rsidR="00650E95" w:rsidRDefault="00650E95" w:rsidP="00004C3C">
            <w:r>
              <w:t>67-69</w:t>
            </w:r>
            <w:r w:rsidR="00FC6FAD">
              <w:t>.99</w:t>
            </w:r>
            <w:r>
              <w:t>%</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0BADA46E" w:rsidR="00650E95" w:rsidRDefault="00650E95" w:rsidP="00004C3C">
            <w:r>
              <w:t>60-66</w:t>
            </w:r>
            <w:r w:rsidR="00FC6FAD">
              <w:t>.99</w:t>
            </w:r>
            <w:r>
              <w:t>%</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19DD43B3" w:rsidR="00650E95" w:rsidRDefault="00FC6FAD" w:rsidP="00004C3C">
            <w:r>
              <w:t>Below 60%</w:t>
            </w:r>
          </w:p>
        </w:tc>
      </w:tr>
    </w:tbl>
    <w:p w14:paraId="33BF59C9" w14:textId="77777777" w:rsidR="00650E95" w:rsidRDefault="00650E95" w:rsidP="00650E95">
      <w:pPr>
        <w:pStyle w:val="Heading2"/>
      </w:pPr>
      <w:r>
        <w:t>Participation</w:t>
      </w:r>
    </w:p>
    <w:p w14:paraId="2591D95B" w14:textId="349F7F01" w:rsidR="00650E95" w:rsidRDefault="00650E95" w:rsidP="00104328">
      <w:pPr>
        <w:widowControl w:val="0"/>
        <w:spacing w:after="240"/>
      </w:pPr>
      <w:r>
        <w:t>Students are expected to participate in all online activities as listed on the course calendar.</w:t>
      </w:r>
      <w:r w:rsidR="00104328">
        <w:t xml:space="preserve"> If you participate in the Discussion threads weeks after the due date, </w:t>
      </w:r>
      <w:r w:rsidR="00E473D4">
        <w:t xml:space="preserve">you will receive a reduced score for not participating in a timely manner. </w:t>
      </w:r>
      <w:r w:rsidR="00481438">
        <w:t xml:space="preserve">We will not take off points for missing synchronous seminars, but </w:t>
      </w:r>
      <w:r w:rsidR="00481438">
        <w:lastRenderedPageBreak/>
        <w:t xml:space="preserve">please work with your group to do additional preparation to make-up for your lack of presence. We will </w:t>
      </w:r>
      <w:r w:rsidR="001E0924">
        <w:t xml:space="preserve">be collecting information on group participation in during the final week of the term. </w:t>
      </w:r>
    </w:p>
    <w:p w14:paraId="674C4DD9" w14:textId="77777777" w:rsidR="00650E95" w:rsidRDefault="00650E95" w:rsidP="00650E95">
      <w:pPr>
        <w:pStyle w:val="Heading2"/>
      </w:pPr>
      <w:r>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1EF7525E" w14:textId="015F2CBB" w:rsidR="00650E95" w:rsidRPr="001E0924" w:rsidRDefault="00650E95" w:rsidP="00650E95">
      <w:pPr>
        <w:widowControl w:val="0"/>
        <w:spacing w:after="240"/>
        <w:rPr>
          <w:color w:val="auto"/>
        </w:rPr>
      </w:pPr>
      <w:r w:rsidRPr="001E0924">
        <w:rPr>
          <w:color w:val="auto"/>
        </w:rPr>
        <w:t xml:space="preserve">Your instructor will update the online grades each time a grading session has been complete—typically </w:t>
      </w:r>
      <w:r w:rsidR="001E0924" w:rsidRPr="001E0924">
        <w:rPr>
          <w:color w:val="auto"/>
        </w:rPr>
        <w:t>4-6</w:t>
      </w:r>
      <w:r w:rsidRPr="001E0924">
        <w:rPr>
          <w:color w:val="auto"/>
        </w:rPr>
        <w:t xml:space="preserve"> days following the completion of an activity. You will see a visual indication of new grades posted on your Canvas home page under the link to this course.</w:t>
      </w:r>
      <w:r w:rsidR="001E0924">
        <w:rPr>
          <w:color w:val="auto"/>
        </w:rPr>
        <w:t xml:space="preserve"> If you submitted an assignment late, please let your instructors know when it is submitted. </w:t>
      </w:r>
    </w:p>
    <w:p w14:paraId="111F9A39" w14:textId="77777777" w:rsidR="00650E95" w:rsidRDefault="00650E95" w:rsidP="00650E95"/>
    <w:p w14:paraId="046C276C" w14:textId="77777777" w:rsidR="00650E95" w:rsidRDefault="00650E95" w:rsidP="00650E95">
      <w:pPr>
        <w:pStyle w:val="Heading1"/>
      </w:pPr>
      <w:r>
        <w:t>Other Policies</w:t>
      </w:r>
    </w:p>
    <w:p w14:paraId="4430FBE1" w14:textId="77777777" w:rsidR="00650E95" w:rsidRDefault="00650E95" w:rsidP="00650E95">
      <w:pPr>
        <w:pStyle w:val="Heading2"/>
      </w:pPr>
      <w:r>
        <w:t>Absences due to Military Service</w:t>
      </w:r>
    </w:p>
    <w:p w14:paraId="263BAF92" w14:textId="311FF183" w:rsidR="00650E95" w:rsidRDefault="00650E95" w:rsidP="00E84059">
      <w:r w:rsidRPr="2E5BE5E1">
        <w:t xml:space="preserve">As stated in the UWSP Catalog, you will not be penalized for class absence due to unavoidable or legitimate required military obligations, or medical appointments at a VA facility, </w:t>
      </w:r>
      <w:r w:rsidRPr="006B41F4">
        <w:t>not to exceed two (2)</w:t>
      </w:r>
      <w:r w:rsidRPr="2E5BE5E1">
        <w:t xml:space="preserve"> </w:t>
      </w:r>
      <w:hyperlink r:id="rId29">
        <w:r w:rsidRPr="006B41F4">
          <w:t>weeks</w:t>
        </w:r>
      </w:hyperlink>
      <w:r w:rsidRPr="2E5BE5E1">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0">
        <w:r w:rsidRPr="2E5BE5E1">
          <w:rPr>
            <w:rStyle w:val="Hyperlink"/>
            <w:sz w:val="24"/>
            <w:szCs w:val="24"/>
          </w:rPr>
          <w:t>Military Call-Up Instructions for Students</w:t>
        </w:r>
      </w:hyperlink>
      <w:r w:rsidRPr="2E5BE5E1">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w:t>
      </w:r>
      <w:proofErr w:type="gramStart"/>
      <w:r>
        <w:t>of</w:t>
      </w:r>
      <w:proofErr w:type="gramEnd"/>
      <w: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lastRenderedPageBreak/>
        <w:t xml:space="preserve">(a)  Seeks to claim credit for the work or efforts of another without authorization or </w:t>
      </w:r>
      <w:proofErr w:type="gramStart"/>
      <w:r>
        <w:t>citation;</w:t>
      </w:r>
      <w:proofErr w:type="gramEnd"/>
    </w:p>
    <w:p w14:paraId="114546AC" w14:textId="77777777" w:rsidR="00650E95" w:rsidRDefault="00650E95" w:rsidP="00650E95">
      <w:pPr>
        <w:ind w:left="1080"/>
      </w:pPr>
      <w:r>
        <w:t xml:space="preserve">(b)  Uses unauthorized materials or fabricated data in any academic </w:t>
      </w:r>
      <w:proofErr w:type="gramStart"/>
      <w:r>
        <w:t>exercise;</w:t>
      </w:r>
      <w:proofErr w:type="gramEnd"/>
    </w:p>
    <w:p w14:paraId="29B4DC0C" w14:textId="77777777" w:rsidR="00650E95" w:rsidRDefault="00650E95" w:rsidP="00650E95">
      <w:pPr>
        <w:ind w:left="1080"/>
      </w:pPr>
      <w:r>
        <w:t xml:space="preserve">(c)  Forges or falsifies academic documents or </w:t>
      </w:r>
      <w:proofErr w:type="gramStart"/>
      <w:r>
        <w:t>records;</w:t>
      </w:r>
      <w:proofErr w:type="gramEnd"/>
    </w:p>
    <w:p w14:paraId="1A6A8E9B" w14:textId="77777777" w:rsidR="00650E95" w:rsidRDefault="00650E95" w:rsidP="00650E95">
      <w:r>
        <w:t xml:space="preserve">     (d)  Intentionally impedes or damages the academic work of </w:t>
      </w:r>
      <w:proofErr w:type="gramStart"/>
      <w:r>
        <w:t>others;</w:t>
      </w:r>
      <w:proofErr w:type="gramEnd"/>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proofErr w:type="spellStart"/>
      <w:r>
        <w:t>Clery</w:t>
      </w:r>
      <w:proofErr w:type="spellEnd"/>
      <w:r>
        <w:t xml:space="preserve">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1">
        <w:r>
          <w:t xml:space="preserve"> </w:t>
        </w:r>
      </w:hyperlink>
      <w:hyperlink r:id="rId32">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33">
        <w:r>
          <w:t xml:space="preserve"> </w:t>
        </w:r>
      </w:hyperlink>
      <w:hyperlink r:id="rId34">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 xml:space="preserve">As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lastRenderedPageBreak/>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5">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0" w:name="h.gjdgxs" w:colFirst="0" w:colLast="0"/>
      <w:bookmarkEnd w:id="0"/>
      <w:r>
        <w:t xml:space="preserve">It is the student’s responsibility to understand when they need to consider unenrolling from a course. Refer to the UWSP </w:t>
      </w:r>
      <w:hyperlink r:id="rId36">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7">
        <w:r>
          <w:rPr>
            <w:b/>
          </w:rPr>
          <w:t xml:space="preserve"> </w:t>
        </w:r>
      </w:hyperlink>
      <w:hyperlink r:id="rId38">
        <w:r>
          <w:rPr>
            <w:color w:val="1155CC"/>
            <w:u w:val="single"/>
          </w:rPr>
          <w:t>Center for Prevention – DFSCA</w:t>
        </w:r>
      </w:hyperlink>
    </w:p>
    <w:p w14:paraId="44FF5D68" w14:textId="77777777" w:rsidR="00650E95" w:rsidRDefault="00650E95" w:rsidP="00650E95">
      <w:pPr>
        <w:pStyle w:val="Heading2"/>
      </w:pPr>
      <w:r>
        <w:t>Emergency Procedures</w:t>
      </w:r>
    </w:p>
    <w:p w14:paraId="13AF2764" w14:textId="31597A63" w:rsidR="00650E95" w:rsidRPr="005A4522" w:rsidRDefault="00650E95" w:rsidP="00650E95">
      <w:pPr>
        <w:pStyle w:val="ListParagraph"/>
        <w:numPr>
          <w:ilvl w:val="0"/>
          <w:numId w:val="13"/>
        </w:numPr>
      </w:pPr>
      <w:r w:rsidRPr="005A4522">
        <w:t xml:space="preserve">In the event of a </w:t>
      </w:r>
      <w:r w:rsidRPr="00B223A5">
        <w:rPr>
          <w:b/>
        </w:rPr>
        <w:t>medical emergency call 9-1-1</w:t>
      </w:r>
      <w:r w:rsidRPr="005A4522">
        <w:t xml:space="preserve"> </w:t>
      </w:r>
      <w:r w:rsidRPr="005A4522">
        <w:br/>
      </w:r>
    </w:p>
    <w:p w14:paraId="4186DB2E" w14:textId="125B3D75" w:rsidR="00650E95" w:rsidRPr="005A4522" w:rsidRDefault="00650E95" w:rsidP="00650E95">
      <w:pPr>
        <w:pStyle w:val="ListParagraph"/>
        <w:numPr>
          <w:ilvl w:val="0"/>
          <w:numId w:val="13"/>
        </w:numPr>
      </w:pPr>
      <w:r w:rsidRPr="005A4522">
        <w:t xml:space="preserve">In the event of </w:t>
      </w:r>
      <w:r w:rsidRPr="00B223A5">
        <w:rPr>
          <w:b/>
        </w:rPr>
        <w:t>a tornado warning</w:t>
      </w:r>
      <w:r w:rsidRPr="005A4522">
        <w:t xml:space="preserve">, </w:t>
      </w:r>
      <w:r w:rsidRPr="00B223A5">
        <w:rPr>
          <w:b/>
        </w:rPr>
        <w:t>proceed to the lowest level interior room</w:t>
      </w:r>
      <w:r w:rsidRPr="005A4522">
        <w:t xml:space="preserve"> without window exposure</w:t>
      </w:r>
      <w:r w:rsidR="001E0924">
        <w:t xml:space="preserve">. </w:t>
      </w:r>
      <w:r w:rsidRPr="005A4522">
        <w:t xml:space="preserve">See </w:t>
      </w:r>
      <w:hyperlink r:id="rId39" w:history="1">
        <w:r w:rsidRPr="00B223A5">
          <w:rPr>
            <w:rStyle w:val="Hyperlink"/>
            <w:rFonts w:asciiTheme="majorHAnsi" w:hAnsiTheme="majorHAnsi" w:cstheme="majorHAnsi"/>
            <w:sz w:val="24"/>
            <w:szCs w:val="24"/>
          </w:rPr>
          <w:t>www.uwsp.edu/rmgt/Pages/em/procedures/other/floor-plans.aspx</w:t>
        </w:r>
      </w:hyperlink>
      <w:r w:rsidRPr="005A4522">
        <w:t xml:space="preserve"> for floor plans showing severe weather shelters on campus.  Avoid wide-span structures (gyms, </w:t>
      </w:r>
      <w:proofErr w:type="gramStart"/>
      <w:r w:rsidRPr="005A4522">
        <w:t>pools</w:t>
      </w:r>
      <w:proofErr w:type="gramEnd"/>
      <w:r w:rsidRPr="005A4522">
        <w:t xml:space="preserve"> or large classrooms).</w:t>
      </w:r>
      <w:r w:rsidRPr="005A4522">
        <w:br/>
        <w:t> </w:t>
      </w:r>
    </w:p>
    <w:p w14:paraId="6D9341DC" w14:textId="51515F6F" w:rsidR="00650E95" w:rsidRPr="005A4522" w:rsidRDefault="00650E95" w:rsidP="00650E95">
      <w:pPr>
        <w:pStyle w:val="ListParagraph"/>
        <w:numPr>
          <w:ilvl w:val="0"/>
          <w:numId w:val="13"/>
        </w:numPr>
      </w:pPr>
      <w:r w:rsidRPr="005A4522">
        <w:t xml:space="preserve">In the event of </w:t>
      </w:r>
      <w:r w:rsidRPr="00B223A5">
        <w:rPr>
          <w:b/>
        </w:rPr>
        <w:t>a fire alarm</w:t>
      </w:r>
      <w:r w:rsidRPr="005A4522">
        <w:t xml:space="preserve">, </w:t>
      </w:r>
      <w:r w:rsidRPr="00B223A5">
        <w:rPr>
          <w:b/>
        </w:rPr>
        <w:t>evacuate the building</w:t>
      </w:r>
      <w:r w:rsidRPr="005A4522">
        <w:t xml:space="preserve"> in a calm manner. Notify instructor or emergency response personnel of any missing individuals. </w:t>
      </w:r>
      <w:r w:rsidRPr="005A4522">
        <w:br/>
      </w:r>
    </w:p>
    <w:p w14:paraId="45528012" w14:textId="77777777" w:rsidR="00650E95" w:rsidRPr="005A4522" w:rsidRDefault="00650E95" w:rsidP="00650E95">
      <w:pPr>
        <w:pStyle w:val="ListParagraph"/>
        <w:numPr>
          <w:ilvl w:val="0"/>
          <w:numId w:val="13"/>
        </w:numPr>
      </w:pPr>
      <w:r w:rsidRPr="00B223A5">
        <w:rPr>
          <w:b/>
        </w:rPr>
        <w:t>Active Shooter – RUN. HIDE. FIGHT.</w:t>
      </w:r>
      <w:r w:rsidRPr="005A4522">
        <w:t xml:space="preserve"> If trapped, hide, lock doors, turn off lights, spread out and remain quiet. Call 9-1-1 when it is safe to do so.  Follow instructions of emergency responders. </w:t>
      </w:r>
      <w:r w:rsidRPr="005A4522">
        <w:br/>
      </w:r>
    </w:p>
    <w:p w14:paraId="090802CA" w14:textId="77777777" w:rsidR="00650E95" w:rsidRPr="005A4522" w:rsidRDefault="00650E95" w:rsidP="00650E95">
      <w:pPr>
        <w:pStyle w:val="ListParagraph"/>
        <w:numPr>
          <w:ilvl w:val="0"/>
          <w:numId w:val="13"/>
        </w:numPr>
      </w:pPr>
      <w:r w:rsidRPr="005A4522">
        <w:t xml:space="preserve">See UW-Stevens Point Emergency Procedures at </w:t>
      </w:r>
      <w:hyperlink r:id="rId40"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5C73F007" w14:textId="77777777" w:rsidR="00650E95" w:rsidRDefault="00650E95" w:rsidP="00650E95">
      <w:pPr>
        <w:pStyle w:val="Heading2"/>
        <w:rPr>
          <w:color w:val="5F2987"/>
        </w:rPr>
      </w:pPr>
      <w:bookmarkStart w:id="1" w:name="_2nafmy6vk07w" w:colFirst="0" w:colLast="0"/>
      <w:bookmarkStart w:id="2" w:name="_44sinio" w:colFirst="0" w:colLast="0"/>
      <w:bookmarkEnd w:id="1"/>
      <w:bookmarkEnd w:id="2"/>
      <w:r>
        <w:t>*Equal Access for Students with Disabilities</w:t>
      </w:r>
    </w:p>
    <w:p w14:paraId="66CC278A" w14:textId="77777777" w:rsidR="00650E95" w:rsidRDefault="00650E95" w:rsidP="00650E95">
      <w:bookmarkStart w:id="3" w:name="_2jxsxqh" w:colFirst="0" w:colLast="0"/>
      <w:bookmarkEnd w:id="3"/>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6A23A7A2" w:rsidR="00650E95" w:rsidRDefault="00650E95" w:rsidP="00650E95">
      <w:pPr>
        <w:rPr>
          <w:i/>
        </w:rPr>
      </w:pPr>
      <w:r>
        <w:rPr>
          <w:i/>
        </w:rPr>
        <w:t xml:space="preserve">If modifications are required due to a disability, please inform the </w:t>
      </w:r>
      <w:proofErr w:type="gramStart"/>
      <w:r>
        <w:rPr>
          <w:i/>
        </w:rPr>
        <w:t>instructor</w:t>
      </w:r>
      <w:proofErr w:type="gramEnd"/>
      <w:r>
        <w:rPr>
          <w:i/>
        </w:rPr>
        <w:t xml:space="preserve"> and contact the</w:t>
      </w:r>
      <w:hyperlink r:id="rId41">
        <w:r>
          <w:rPr>
            <w:i/>
            <w:color w:val="0563C1"/>
            <w:u w:val="single"/>
          </w:rPr>
          <w:t xml:space="preserve"> Disability and Assistive Technology Center</w:t>
        </w:r>
      </w:hyperlink>
      <w:r w:rsidR="00B404BF">
        <w:rPr>
          <w:i/>
        </w:rPr>
        <w:t>.</w:t>
      </w:r>
    </w:p>
    <w:p w14:paraId="47AFF9F3" w14:textId="77777777" w:rsidR="00650E95" w:rsidRDefault="00650E95" w:rsidP="00650E95">
      <w:pPr>
        <w:pStyle w:val="Heading2"/>
      </w:pPr>
      <w:bookmarkStart w:id="4" w:name="_3j2qqm3" w:colFirst="0" w:colLast="0"/>
      <w:bookmarkEnd w:id="4"/>
      <w:r>
        <w:t>FERPA</w:t>
      </w:r>
    </w:p>
    <w:p w14:paraId="4514AA48" w14:textId="77777777" w:rsidR="00650E95" w:rsidRDefault="00650E95" w:rsidP="00650E95">
      <w:r>
        <w:t>The</w:t>
      </w:r>
      <w:hyperlink r:id="rId42">
        <w:r>
          <w:t xml:space="preserve"> </w:t>
        </w:r>
      </w:hyperlink>
      <w:hyperlink r:id="rId43">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3223AD49" w:rsidR="00650E95" w:rsidRDefault="00650E95" w:rsidP="00650E95">
      <w:pPr>
        <w:rPr>
          <w:rFonts w:ascii="Calibri" w:eastAsiaTheme="minorHAnsi" w:hAnsi="Calibri" w:cs="Calibri"/>
        </w:rPr>
      </w:pPr>
      <w:r w:rsidRPr="00206D2B">
        <w:t xml:space="preserve">Lecture materials and recordings for </w:t>
      </w:r>
      <w:r w:rsidR="003D76AD">
        <w:t xml:space="preserve">EDSU 820 </w:t>
      </w:r>
      <w:r w:rsidRPr="00206D2B">
        <w:t>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7AC99E4D" w14:textId="77777777" w:rsidR="00650E95" w:rsidRDefault="00650E95" w:rsidP="00650E95">
      <w:pPr>
        <w:pStyle w:val="Heading2"/>
      </w:pPr>
      <w:bookmarkStart w:id="5" w:name="_nd6b3ndjmoz4" w:colFirst="0" w:colLast="0"/>
      <w:bookmarkEnd w:id="5"/>
      <w:r>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999"/>
        <w:gridCol w:w="1936"/>
        <w:gridCol w:w="1894"/>
        <w:gridCol w:w="2531"/>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lastRenderedPageBreak/>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3D4DE1AF" w:rsidR="00650E95" w:rsidRPr="00A05206" w:rsidRDefault="00650E95" w:rsidP="00004C3C">
            <w:pPr>
              <w:ind w:left="0"/>
            </w:pPr>
            <w:r w:rsidRPr="00A05206">
              <w:t xml:space="preserve">Tutoring and Learning Center helps with Study Skills, Writing, Technology, Math, &amp; Science. </w:t>
            </w:r>
            <w:proofErr w:type="spellStart"/>
            <w:r w:rsidRPr="00A05206">
              <w:t>ext</w:t>
            </w:r>
            <w:proofErr w:type="spellEnd"/>
            <w:r w:rsidRPr="00A05206">
              <w:t xml:space="preserve"> 3568</w:t>
            </w:r>
          </w:p>
        </w:tc>
        <w:tc>
          <w:tcPr>
            <w:tcW w:w="0" w:type="auto"/>
            <w:tcMar>
              <w:top w:w="144" w:type="dxa"/>
              <w:left w:w="144" w:type="dxa"/>
              <w:bottom w:w="144" w:type="dxa"/>
              <w:right w:w="144" w:type="dxa"/>
            </w:tcMar>
          </w:tcPr>
          <w:p w14:paraId="378FBB7F" w14:textId="6FD7D235" w:rsidR="00650E95" w:rsidRPr="00A05206" w:rsidRDefault="00650E95" w:rsidP="00004C3C">
            <w:pPr>
              <w:ind w:left="0"/>
            </w:pPr>
            <w:r w:rsidRPr="00A05206">
              <w:t xml:space="preserve">Academic and Career Advising Center, </w:t>
            </w:r>
            <w:proofErr w:type="spellStart"/>
            <w:r w:rsidRPr="00A05206">
              <w:t>ext</w:t>
            </w:r>
            <w:proofErr w:type="spellEnd"/>
            <w:r w:rsidRPr="00A05206">
              <w:t xml:space="preserve">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 xml:space="preserve">Counseling Center, </w:t>
            </w:r>
            <w:proofErr w:type="spellStart"/>
            <w:r w:rsidRPr="00A05206">
              <w:t>Delzell</w:t>
            </w:r>
            <w:proofErr w:type="spellEnd"/>
            <w:r w:rsidRPr="00A05206">
              <w:t xml:space="preserve"> Hall, ext. 3553. Health Care, </w:t>
            </w:r>
            <w:proofErr w:type="spellStart"/>
            <w:r w:rsidRPr="00A05206">
              <w:t>Delzell</w:t>
            </w:r>
            <w:proofErr w:type="spellEnd"/>
            <w:r w:rsidRPr="00A05206">
              <w:t xml:space="preserve">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r>
        <w:t xml:space="preserve">Inclusivity Statement </w:t>
      </w:r>
    </w:p>
    <w:p w14:paraId="6F0FDD20" w14:textId="77777777" w:rsidR="00650E95" w:rsidRDefault="00650E95" w:rsidP="00650E95">
      <w:bookmarkStart w:id="6" w:name="_1t3h5sf" w:colFirst="0" w:colLast="0"/>
      <w:bookmarkEnd w:id="6"/>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t>strength</w:t>
      </w:r>
      <w:proofErr w:type="gramEnd"/>
      <w: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7" w:name="_j2zz40v7wlb4" w:colFirst="0" w:colLast="0"/>
      <w:bookmarkEnd w:id="7"/>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4">
        <w:r>
          <w:rPr>
            <w:color w:val="1155CC"/>
            <w:highlight w:val="white"/>
            <w:u w:val="single"/>
          </w:rPr>
          <w:t>link</w:t>
        </w:r>
      </w:hyperlink>
      <w:r>
        <w:rPr>
          <w:highlight w:val="white"/>
        </w:rPr>
        <w:t xml:space="preserve">. You may also contact the Dean of Students office directly at </w:t>
      </w:r>
      <w:hyperlink r:id="rId45">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01144400" w:rsidR="00650E95" w:rsidRDefault="00650E95" w:rsidP="00650E95">
      <w:pPr>
        <w:widowControl w:val="0"/>
        <w:spacing w:after="240"/>
      </w:pPr>
      <w:r>
        <w:t xml:space="preserve">Under emergency/special circumstances, students may petition for an </w:t>
      </w:r>
      <w:r w:rsidRPr="00AF394A">
        <w:rPr>
          <w:color w:val="auto"/>
        </w:rPr>
        <w:t xml:space="preserve">incomplete grade. An incomplete will only be assigned if </w:t>
      </w:r>
      <w:r w:rsidR="001E0924" w:rsidRPr="00AF394A">
        <w:rPr>
          <w:color w:val="auto"/>
        </w:rPr>
        <w:t xml:space="preserve">there is a compelling and unforeseen </w:t>
      </w:r>
      <w:r w:rsidR="00AF394A" w:rsidRPr="00AF394A">
        <w:rPr>
          <w:color w:val="auto"/>
        </w:rPr>
        <w:t>circumstance</w:t>
      </w:r>
      <w:r w:rsidR="00EE7887">
        <w:rPr>
          <w:color w:val="auto"/>
        </w:rPr>
        <w:t xml:space="preserve"> and the student already completed 50% of the coursework</w:t>
      </w:r>
      <w:r w:rsidR="00AF394A" w:rsidRPr="00AF394A">
        <w:rPr>
          <w:color w:val="auto"/>
        </w:rPr>
        <w:t xml:space="preserve">. </w:t>
      </w:r>
      <w:r w:rsidRPr="00AF394A">
        <w:rPr>
          <w:color w:val="auto"/>
        </w:rPr>
        <w:t xml:space="preserve">All incomplete course assignments must be completed within </w:t>
      </w:r>
      <w:r w:rsidR="00AF394A" w:rsidRPr="00AF394A">
        <w:rPr>
          <w:color w:val="auto"/>
        </w:rPr>
        <w:t>the following term</w:t>
      </w:r>
      <w:r w:rsidR="00EE7887">
        <w:rPr>
          <w:color w:val="auto"/>
        </w:rPr>
        <w:t xml:space="preserve"> (fall term incompletes must be completed by spring term)</w:t>
      </w:r>
      <w:r w:rsidR="00AF394A" w:rsidRPr="00AF394A">
        <w:rPr>
          <w:color w:val="auto"/>
        </w:rPr>
        <w:t xml:space="preserve">. </w:t>
      </w:r>
    </w:p>
    <w:p w14:paraId="204AA9DD" w14:textId="77777777" w:rsidR="00650E95" w:rsidRPr="00C2011D" w:rsidRDefault="00650E95" w:rsidP="00650E95">
      <w:pPr>
        <w:pStyle w:val="Heading2"/>
      </w:pPr>
      <w:r w:rsidRPr="00C2011D">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lastRenderedPageBreak/>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w:t>
      </w:r>
      <w:proofErr w:type="gramStart"/>
      <w:r w:rsidRPr="00C2011D">
        <w:t>have to</w:t>
      </w:r>
      <w:proofErr w:type="gramEnd"/>
      <w:r w:rsidRPr="00C2011D">
        <w:t xml:space="preserve">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proofErr w:type="spellStart"/>
      <w:r w:rsidRPr="00C2011D">
        <w:rPr>
          <w:rFonts w:ascii="Calibri" w:eastAsia="Calibri" w:hAnsi="Calibri" w:cs="Calibri"/>
        </w:rPr>
        <w:t>Mintu-Wimsatt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6">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47">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r>
        <w:t>Religious Beliefs Accommodation</w:t>
      </w:r>
    </w:p>
    <w:p w14:paraId="57EB8D81" w14:textId="77777777" w:rsidR="00650E95" w:rsidRDefault="00650E95" w:rsidP="00650E95">
      <w:r>
        <w:t>It is UW System policy (</w:t>
      </w:r>
      <w:hyperlink r:id="rId48">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lastRenderedPageBreak/>
        <w:t>Title IX</w:t>
      </w:r>
    </w:p>
    <w:p w14:paraId="775F579D" w14:textId="77777777" w:rsidR="00650E95" w:rsidRDefault="00650E95" w:rsidP="00650E95">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49">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50">
        <w:r>
          <w:rPr>
            <w:color w:val="1155CC"/>
            <w:u w:val="single"/>
          </w:rPr>
          <w:t>Title IX page</w:t>
        </w:r>
      </w:hyperlink>
      <w:hyperlink r:id="rId51">
        <w:r>
          <w:t>.</w:t>
        </w:r>
      </w:hyperlink>
      <w:hyperlink r:id="rId52">
        <w:r>
          <w:t xml:space="preserve"> </w:t>
        </w:r>
      </w:hyperlink>
    </w:p>
    <w:p w14:paraId="23EDBDA1" w14:textId="77777777" w:rsidR="0076218F" w:rsidRPr="00653FAB" w:rsidRDefault="0076218F" w:rsidP="00653FAB"/>
    <w:sectPr w:rsidR="0076218F" w:rsidRPr="00653FAB" w:rsidSect="008C4582">
      <w:headerReference w:type="default"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61B6" w14:textId="77777777" w:rsidR="004E29E0" w:rsidRDefault="004E29E0" w:rsidP="008C4582">
      <w:r>
        <w:separator/>
      </w:r>
    </w:p>
  </w:endnote>
  <w:endnote w:type="continuationSeparator" w:id="0">
    <w:p w14:paraId="4E39371E" w14:textId="77777777" w:rsidR="004E29E0" w:rsidRDefault="004E29E0"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D16F" w14:textId="77777777" w:rsidR="004E29E0" w:rsidRDefault="004E29E0" w:rsidP="008C4582">
      <w:r>
        <w:separator/>
      </w:r>
    </w:p>
  </w:footnote>
  <w:footnote w:type="continuationSeparator" w:id="0">
    <w:p w14:paraId="66538F94" w14:textId="77777777" w:rsidR="004E29E0" w:rsidRDefault="004E29E0"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74381BDE" w:rsidR="008C4582" w:rsidRDefault="00473F4A" w:rsidP="001E7127">
    <w:pPr>
      <w:pStyle w:val="Header"/>
      <w:ind w:left="0"/>
    </w:pPr>
    <w:r>
      <w:rPr>
        <w:color w:val="auto"/>
      </w:rPr>
      <w:t>Social Justice in Education for Sustainability</w:t>
    </w:r>
    <w:r w:rsidR="008C4582" w:rsidRPr="00473F4A">
      <w:rPr>
        <w:color w:val="auto"/>
      </w:rPr>
      <w:ptab w:relativeTo="margin" w:alignment="right" w:leader="none"/>
    </w:r>
    <w:r w:rsidRPr="00473F4A">
      <w:rPr>
        <w:color w:val="auto"/>
      </w:rPr>
      <w:t xml:space="preserve">Fall 2022 </w:t>
    </w:r>
    <w:r w:rsidR="008C4582">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9" w15:restartNumberingAfterBreak="0">
    <w:nsid w:val="3A8719DC"/>
    <w:multiLevelType w:val="hybridMultilevel"/>
    <w:tmpl w:val="6E6A7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2"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4"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num w:numId="1" w16cid:durableId="713582585">
    <w:abstractNumId w:val="0"/>
  </w:num>
  <w:num w:numId="2" w16cid:durableId="114640759">
    <w:abstractNumId w:val="7"/>
  </w:num>
  <w:num w:numId="3" w16cid:durableId="1952125426">
    <w:abstractNumId w:val="1"/>
  </w:num>
  <w:num w:numId="4" w16cid:durableId="54395771">
    <w:abstractNumId w:val="15"/>
  </w:num>
  <w:num w:numId="5" w16cid:durableId="943654796">
    <w:abstractNumId w:val="8"/>
  </w:num>
  <w:num w:numId="6" w16cid:durableId="327560379">
    <w:abstractNumId w:val="5"/>
  </w:num>
  <w:num w:numId="7" w16cid:durableId="1309168317">
    <w:abstractNumId w:val="6"/>
  </w:num>
  <w:num w:numId="8" w16cid:durableId="508103479">
    <w:abstractNumId w:val="14"/>
  </w:num>
  <w:num w:numId="9" w16cid:durableId="1538659134">
    <w:abstractNumId w:val="12"/>
  </w:num>
  <w:num w:numId="10" w16cid:durableId="1200440044">
    <w:abstractNumId w:val="3"/>
  </w:num>
  <w:num w:numId="11" w16cid:durableId="1223710958">
    <w:abstractNumId w:val="13"/>
  </w:num>
  <w:num w:numId="12" w16cid:durableId="1174611587">
    <w:abstractNumId w:val="11"/>
  </w:num>
  <w:num w:numId="13" w16cid:durableId="115025097">
    <w:abstractNumId w:val="4"/>
  </w:num>
  <w:num w:numId="14" w16cid:durableId="571693557">
    <w:abstractNumId w:val="10"/>
  </w:num>
  <w:num w:numId="15" w16cid:durableId="265043048">
    <w:abstractNumId w:val="2"/>
  </w:num>
  <w:num w:numId="16" w16cid:durableId="13667146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52B82"/>
    <w:rsid w:val="00053A09"/>
    <w:rsid w:val="000621C7"/>
    <w:rsid w:val="000713C2"/>
    <w:rsid w:val="000721B1"/>
    <w:rsid w:val="00084DC2"/>
    <w:rsid w:val="000A6E7E"/>
    <w:rsid w:val="000C56FE"/>
    <w:rsid w:val="000D3002"/>
    <w:rsid w:val="000F3D17"/>
    <w:rsid w:val="000F4F4E"/>
    <w:rsid w:val="000F78E9"/>
    <w:rsid w:val="00104328"/>
    <w:rsid w:val="00122D84"/>
    <w:rsid w:val="001432DD"/>
    <w:rsid w:val="00161AE6"/>
    <w:rsid w:val="00192FA5"/>
    <w:rsid w:val="00195429"/>
    <w:rsid w:val="001C51AA"/>
    <w:rsid w:val="001E0924"/>
    <w:rsid w:val="001E7127"/>
    <w:rsid w:val="00212EA0"/>
    <w:rsid w:val="00213B23"/>
    <w:rsid w:val="00233F7D"/>
    <w:rsid w:val="0024162F"/>
    <w:rsid w:val="00251FBC"/>
    <w:rsid w:val="00276151"/>
    <w:rsid w:val="00281907"/>
    <w:rsid w:val="0028213F"/>
    <w:rsid w:val="002944F4"/>
    <w:rsid w:val="002B5810"/>
    <w:rsid w:val="002B754A"/>
    <w:rsid w:val="002D032C"/>
    <w:rsid w:val="002F70ED"/>
    <w:rsid w:val="00315718"/>
    <w:rsid w:val="003260EC"/>
    <w:rsid w:val="003427F5"/>
    <w:rsid w:val="00350068"/>
    <w:rsid w:val="0036133F"/>
    <w:rsid w:val="00367F65"/>
    <w:rsid w:val="0037012F"/>
    <w:rsid w:val="003D76AD"/>
    <w:rsid w:val="003E4385"/>
    <w:rsid w:val="003F42D2"/>
    <w:rsid w:val="00421FEA"/>
    <w:rsid w:val="004320C1"/>
    <w:rsid w:val="00435428"/>
    <w:rsid w:val="00452B9F"/>
    <w:rsid w:val="00473F4A"/>
    <w:rsid w:val="00481438"/>
    <w:rsid w:val="0048521A"/>
    <w:rsid w:val="004A1A66"/>
    <w:rsid w:val="004A300D"/>
    <w:rsid w:val="004D6128"/>
    <w:rsid w:val="004E29E0"/>
    <w:rsid w:val="004E35EF"/>
    <w:rsid w:val="004E4224"/>
    <w:rsid w:val="005277FE"/>
    <w:rsid w:val="00537C84"/>
    <w:rsid w:val="00550291"/>
    <w:rsid w:val="00555A3F"/>
    <w:rsid w:val="00583850"/>
    <w:rsid w:val="00587FDF"/>
    <w:rsid w:val="005A2AFE"/>
    <w:rsid w:val="005A2FF9"/>
    <w:rsid w:val="005A587A"/>
    <w:rsid w:val="005B3B60"/>
    <w:rsid w:val="005B7298"/>
    <w:rsid w:val="005C354C"/>
    <w:rsid w:val="005E3590"/>
    <w:rsid w:val="00610011"/>
    <w:rsid w:val="0061193D"/>
    <w:rsid w:val="00621807"/>
    <w:rsid w:val="00630A8B"/>
    <w:rsid w:val="00650B0A"/>
    <w:rsid w:val="00650E95"/>
    <w:rsid w:val="00653FAB"/>
    <w:rsid w:val="00654C2E"/>
    <w:rsid w:val="00666FA5"/>
    <w:rsid w:val="006679CE"/>
    <w:rsid w:val="006865AF"/>
    <w:rsid w:val="006B3441"/>
    <w:rsid w:val="006B36F4"/>
    <w:rsid w:val="006B41F4"/>
    <w:rsid w:val="00706F39"/>
    <w:rsid w:val="00712B53"/>
    <w:rsid w:val="00714AC1"/>
    <w:rsid w:val="00717AD6"/>
    <w:rsid w:val="00724F3F"/>
    <w:rsid w:val="007328D0"/>
    <w:rsid w:val="007371F0"/>
    <w:rsid w:val="00742473"/>
    <w:rsid w:val="0076218F"/>
    <w:rsid w:val="00771803"/>
    <w:rsid w:val="00771D13"/>
    <w:rsid w:val="007734CB"/>
    <w:rsid w:val="007767F4"/>
    <w:rsid w:val="007802C4"/>
    <w:rsid w:val="00787064"/>
    <w:rsid w:val="00787FBA"/>
    <w:rsid w:val="00790147"/>
    <w:rsid w:val="00792928"/>
    <w:rsid w:val="00794868"/>
    <w:rsid w:val="007C16C7"/>
    <w:rsid w:val="007C2C04"/>
    <w:rsid w:val="007E159B"/>
    <w:rsid w:val="00807CDB"/>
    <w:rsid w:val="00813964"/>
    <w:rsid w:val="0082240D"/>
    <w:rsid w:val="0082531D"/>
    <w:rsid w:val="0084019E"/>
    <w:rsid w:val="00840EDC"/>
    <w:rsid w:val="008501B1"/>
    <w:rsid w:val="00860068"/>
    <w:rsid w:val="00872F87"/>
    <w:rsid w:val="00892C58"/>
    <w:rsid w:val="008C4582"/>
    <w:rsid w:val="008C6B8A"/>
    <w:rsid w:val="008D1CE4"/>
    <w:rsid w:val="008D6AF9"/>
    <w:rsid w:val="008E24DA"/>
    <w:rsid w:val="00901CA7"/>
    <w:rsid w:val="00906878"/>
    <w:rsid w:val="00907E68"/>
    <w:rsid w:val="00914E39"/>
    <w:rsid w:val="00920534"/>
    <w:rsid w:val="00923D84"/>
    <w:rsid w:val="00933FB9"/>
    <w:rsid w:val="0093433E"/>
    <w:rsid w:val="00950136"/>
    <w:rsid w:val="009606B6"/>
    <w:rsid w:val="00964440"/>
    <w:rsid w:val="009C392B"/>
    <w:rsid w:val="00A05363"/>
    <w:rsid w:val="00A14159"/>
    <w:rsid w:val="00A23477"/>
    <w:rsid w:val="00A24811"/>
    <w:rsid w:val="00A37EC5"/>
    <w:rsid w:val="00A43D6F"/>
    <w:rsid w:val="00A671D6"/>
    <w:rsid w:val="00AB4DC2"/>
    <w:rsid w:val="00AC7447"/>
    <w:rsid w:val="00AD1706"/>
    <w:rsid w:val="00AD2BD3"/>
    <w:rsid w:val="00AF17B1"/>
    <w:rsid w:val="00AF394A"/>
    <w:rsid w:val="00B06E65"/>
    <w:rsid w:val="00B404BF"/>
    <w:rsid w:val="00B94AE3"/>
    <w:rsid w:val="00B95903"/>
    <w:rsid w:val="00BA3223"/>
    <w:rsid w:val="00BA5D1D"/>
    <w:rsid w:val="00BA621A"/>
    <w:rsid w:val="00BC1A99"/>
    <w:rsid w:val="00BC2216"/>
    <w:rsid w:val="00BC57BA"/>
    <w:rsid w:val="00BD1DDE"/>
    <w:rsid w:val="00BF10A8"/>
    <w:rsid w:val="00BF2196"/>
    <w:rsid w:val="00C15377"/>
    <w:rsid w:val="00C1792D"/>
    <w:rsid w:val="00C20954"/>
    <w:rsid w:val="00C23924"/>
    <w:rsid w:val="00C52718"/>
    <w:rsid w:val="00C57A79"/>
    <w:rsid w:val="00C60498"/>
    <w:rsid w:val="00C64307"/>
    <w:rsid w:val="00C66700"/>
    <w:rsid w:val="00C92AD7"/>
    <w:rsid w:val="00CB31B3"/>
    <w:rsid w:val="00CB33DF"/>
    <w:rsid w:val="00CE2676"/>
    <w:rsid w:val="00D016E9"/>
    <w:rsid w:val="00D11103"/>
    <w:rsid w:val="00D22776"/>
    <w:rsid w:val="00D350C9"/>
    <w:rsid w:val="00DC0F0D"/>
    <w:rsid w:val="00DC3AAB"/>
    <w:rsid w:val="00DF76E1"/>
    <w:rsid w:val="00E00C1C"/>
    <w:rsid w:val="00E1288E"/>
    <w:rsid w:val="00E31C9C"/>
    <w:rsid w:val="00E3326F"/>
    <w:rsid w:val="00E339FB"/>
    <w:rsid w:val="00E33BE8"/>
    <w:rsid w:val="00E473D4"/>
    <w:rsid w:val="00E72159"/>
    <w:rsid w:val="00E72F9A"/>
    <w:rsid w:val="00E84059"/>
    <w:rsid w:val="00E93FC9"/>
    <w:rsid w:val="00EA5EE0"/>
    <w:rsid w:val="00EA7B42"/>
    <w:rsid w:val="00EB2DA4"/>
    <w:rsid w:val="00EE7887"/>
    <w:rsid w:val="00F07770"/>
    <w:rsid w:val="00F20E6F"/>
    <w:rsid w:val="00F408F8"/>
    <w:rsid w:val="00F56309"/>
    <w:rsid w:val="00F61390"/>
    <w:rsid w:val="00F66A2F"/>
    <w:rsid w:val="00F726CC"/>
    <w:rsid w:val="00F850CA"/>
    <w:rsid w:val="00F86BAB"/>
    <w:rsid w:val="00F96C4F"/>
    <w:rsid w:val="00F972D9"/>
    <w:rsid w:val="00FA1B5C"/>
    <w:rsid w:val="00FC3053"/>
    <w:rsid w:val="00FC6FAD"/>
    <w:rsid w:val="00FD74D5"/>
    <w:rsid w:val="00FE492C"/>
    <w:rsid w:val="00FF6289"/>
    <w:rsid w:val="197528C1"/>
    <w:rsid w:val="257A4FD1"/>
    <w:rsid w:val="2D8FAB9B"/>
    <w:rsid w:val="2E5BE5E1"/>
    <w:rsid w:val="34F18661"/>
    <w:rsid w:val="45EDC5EC"/>
    <w:rsid w:val="472FC4BE"/>
    <w:rsid w:val="4C88358C"/>
    <w:rsid w:val="4FD3A8E3"/>
    <w:rsid w:val="5164D0FE"/>
    <w:rsid w:val="713150F4"/>
    <w:rsid w:val="73A99825"/>
    <w:rsid w:val="746FCC80"/>
    <w:rsid w:val="75578640"/>
    <w:rsid w:val="7B5C43EF"/>
    <w:rsid w:val="7CBE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DC0F0D"/>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DC0F0D"/>
    <w:pPr>
      <w:spacing w:after="100"/>
      <w:ind w:left="0"/>
    </w:pPr>
  </w:style>
  <w:style w:type="paragraph" w:styleId="TOC2">
    <w:name w:val="toc 2"/>
    <w:basedOn w:val="Normal"/>
    <w:next w:val="Normal"/>
    <w:autoRedefine/>
    <w:uiPriority w:val="39"/>
    <w:unhideWhenUsed/>
    <w:rsid w:val="00DC0F0D"/>
    <w:pPr>
      <w:spacing w:after="100"/>
      <w:ind w:left="220"/>
    </w:pPr>
  </w:style>
  <w:style w:type="paragraph" w:styleId="TOC3">
    <w:name w:val="toc 3"/>
    <w:basedOn w:val="Normal"/>
    <w:next w:val="Normal"/>
    <w:autoRedefine/>
    <w:uiPriority w:val="39"/>
    <w:unhideWhenUsed/>
    <w:rsid w:val="00DC0F0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infotech/Pages/Account/Manage-Your-Account.aspx" TargetMode="External"/><Relationship Id="rId18" Type="http://schemas.openxmlformats.org/officeDocument/2006/relationships/image" Target="media/image5.png"/><Relationship Id="rId26" Type="http://schemas.openxmlformats.org/officeDocument/2006/relationships/hyperlink" Target="https://www.uwsp.edu/tlc/Pages/techTutoring.aspx" TargetMode="External"/><Relationship Id="rId39" Type="http://schemas.openxmlformats.org/officeDocument/2006/relationships/hyperlink" Target="http://www.uwsp.edu/rmgt/Pages/em/procedures/other/floor-plans.aspx" TargetMode="External"/><Relationship Id="rId21" Type="http://schemas.openxmlformats.org/officeDocument/2006/relationships/hyperlink" Target="https://community.canvaslms.com/docs/DOC-3891" TargetMode="External"/><Relationship Id="rId34" Type="http://schemas.openxmlformats.org/officeDocument/2006/relationships/hyperlink" Target="https://www.uwsp.edu/dos/clery/Pages/default.aspx" TargetMode="External"/><Relationship Id="rId42" Type="http://schemas.openxmlformats.org/officeDocument/2006/relationships/hyperlink" Target="https://www.uwsp.edu/regrec/Pages/ferpa.aspx" TargetMode="External"/><Relationship Id="rId47" Type="http://schemas.openxmlformats.org/officeDocument/2006/relationships/hyperlink" Target="http://www.albion.com/netiquette/book/" TargetMode="External"/><Relationship Id="rId50" Type="http://schemas.openxmlformats.org/officeDocument/2006/relationships/hyperlink" Target="https://www.uwsp.edu/hr/Pages/Affirmative%20Action/Title-IX.aspx"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wsp.edu/canvas/Pages/default.aspx" TargetMode="External"/><Relationship Id="rId17" Type="http://schemas.openxmlformats.org/officeDocument/2006/relationships/image" Target="media/image4.png"/><Relationship Id="rId25" Type="http://schemas.openxmlformats.org/officeDocument/2006/relationships/hyperlink" Target="https://www.wisconsin.edu/dle/external-application-integration-requests/" TargetMode="External"/><Relationship Id="rId33" Type="http://schemas.openxmlformats.org/officeDocument/2006/relationships/hyperlink" Target="https://www.uwsp.edu/dos/clery/Pages/default.aspx" TargetMode="External"/><Relationship Id="rId38" Type="http://schemas.openxmlformats.org/officeDocument/2006/relationships/hyperlink" Target="https://www.uwsp.edu/dos/aoda-ipv/Pages/dfsca.aspx" TargetMode="External"/><Relationship Id="rId46" Type="http://schemas.openxmlformats.org/officeDocument/2006/relationships/hyperlink" Target="http://jolt.merlot.org/vol6no1/mintu-wimsatt_0310.ht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community.canvaslms.com/docs/DOC-10701" TargetMode="External"/><Relationship Id="rId29" Type="http://schemas.openxmlformats.org/officeDocument/2006/relationships/hyperlink" Target="https://www.uwsp.edu/veteran-services/Pages/short-term-leave.aspx" TargetMode="External"/><Relationship Id="rId41" Type="http://schemas.openxmlformats.org/officeDocument/2006/relationships/hyperlink" Target="https://www.uwsp.edu/datc/Pages/default.asp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sp.edu/acadaff/GEP/FAQS%20for%20Writing%20Learning%20Outcomes.pdf" TargetMode="External"/><Relationship Id="rId24" Type="http://schemas.openxmlformats.org/officeDocument/2006/relationships/hyperlink" Target="https://community.canvaslms.com/docs/DOC-10721" TargetMode="External"/><Relationship Id="rId32" Type="http://schemas.openxmlformats.org/officeDocument/2006/relationships/hyperlink" Target="https://www.uwsp.edu/dos/clery/Documents/ASR-ASFR.pdf" TargetMode="External"/><Relationship Id="rId37" Type="http://schemas.openxmlformats.org/officeDocument/2006/relationships/hyperlink" Target="https://www.uwsp.edu/dos/aoda-ipv/Pages/dfsca.aspx" TargetMode="External"/><Relationship Id="rId40" Type="http://schemas.openxmlformats.org/officeDocument/2006/relationships/hyperlink" Target="http://www.uwsp.edu/rmgt/Pages/em/procedures" TargetMode="External"/><Relationship Id="rId45" Type="http://schemas.openxmlformats.org/officeDocument/2006/relationships/hyperlink" Target="mailto:dos@uwsp.edu"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uws.instructure.com/enroll/FNRAL8" TargetMode="External"/><Relationship Id="rId28" Type="http://schemas.openxmlformats.org/officeDocument/2006/relationships/hyperlink" Target="mailto:techhelp@uwsp.edu" TargetMode="External"/><Relationship Id="rId36" Type="http://schemas.openxmlformats.org/officeDocument/2006/relationships/hyperlink" Target="https://www.uwsp.edu/regrec/Pages/calendars.aspx" TargetMode="External"/><Relationship Id="rId49" Type="http://schemas.openxmlformats.org/officeDocument/2006/relationships/hyperlink" Target="https://www.uwsp.edu/DOS/sexualassault"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uwsp.edu/dos/clery/Documents/ASR-ASFR.pdf" TargetMode="External"/><Relationship Id="rId44" Type="http://schemas.openxmlformats.org/officeDocument/2006/relationships/hyperlink" Target="https://www.uwsp.edu/dos/Pages/Bias-Hate-Incident.aspx" TargetMode="External"/><Relationship Id="rId52" Type="http://schemas.openxmlformats.org/officeDocument/2006/relationships/hyperlink" Target="https://www.uwsp.edu/hr/Pages/Affirmative%20Action/Title-I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hyperlink" Target="https://www.uwsp.edu/infotech/Pages/ServiceDesk/default.aspx" TargetMode="External"/><Relationship Id="rId30" Type="http://schemas.openxmlformats.org/officeDocument/2006/relationships/hyperlink" Target="https://www.uwsp.edu/finaid/veteran-services/Pages/Call-Up-Guidelines.aspx" TargetMode="External"/><Relationship Id="rId35" Type="http://schemas.openxmlformats.org/officeDocument/2006/relationships/hyperlink" Target="http://libraryguides.uwsp.edu/copyright?hs=a" TargetMode="External"/><Relationship Id="rId43" Type="http://schemas.openxmlformats.org/officeDocument/2006/relationships/hyperlink" Target="https://www.uwsp.edu/regrec/Pages/ferpa.aspx" TargetMode="External"/><Relationship Id="rId48" Type="http://schemas.openxmlformats.org/officeDocument/2006/relationships/hyperlink" Target="https://docs.legis.wisconsin.gov/code/admin_code/uws/22"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uwsp.edu/hr/Pages/Affirmative%20Action/Title-IX.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820</Number>
    <Section xmlns="409cf07c-705a-4568-bc2e-e1a7cd36a2d3">701</Section>
    <Calendar_x0020_Year xmlns="409cf07c-705a-4568-bc2e-e1a7cd36a2d3">2022</Calendar_x0020_Year>
    <Course_x0020_Name xmlns="409cf07c-705a-4568-bc2e-e1a7cd36a2d3">Social Justice in Education for Sustainability</Course_x0020_Name>
    <Instructor xmlns="409cf07c-705a-4568-bc2e-e1a7cd36a2d3">Erin Redman</Instructor>
    <Pre xmlns="409cf07c-705a-4568-bc2e-e1a7cd36a2d3">32</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2.xml><?xml version="1.0" encoding="utf-8"?>
<ds:datastoreItem xmlns:ds="http://schemas.openxmlformats.org/officeDocument/2006/customXml" ds:itemID="{01CD8AF3-C218-4300-90A9-C9F18F945B04}"/>
</file>

<file path=customXml/itemProps3.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076CE-F056-4903-9434-CF4EACC01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4506</Words>
  <Characters>25690</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Dax, Chelsea [Education]</cp:lastModifiedBy>
  <cp:revision>2</cp:revision>
  <dcterms:created xsi:type="dcterms:W3CDTF">2022-09-12T15:04:00Z</dcterms:created>
  <dcterms:modified xsi:type="dcterms:W3CDTF">2022-09-12T15:04:00Z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